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39" w:type="dxa"/>
        <w:jc w:val="center"/>
        <w:tblLook w:val="01E0" w:firstRow="1" w:lastRow="1" w:firstColumn="1" w:lastColumn="1" w:noHBand="0" w:noVBand="0"/>
      </w:tblPr>
      <w:tblGrid>
        <w:gridCol w:w="7030"/>
        <w:gridCol w:w="7709"/>
      </w:tblGrid>
      <w:tr w:rsidR="00820E61" w:rsidRPr="00820E61" w14:paraId="3C2787E3" w14:textId="77777777" w:rsidTr="00652167">
        <w:trPr>
          <w:trHeight w:val="328"/>
          <w:jc w:val="center"/>
        </w:trPr>
        <w:tc>
          <w:tcPr>
            <w:tcW w:w="7030" w:type="dxa"/>
          </w:tcPr>
          <w:p w14:paraId="23A65457" w14:textId="77777777" w:rsidR="00820E61" w:rsidRPr="00E529FD" w:rsidRDefault="00820E61" w:rsidP="00820E61">
            <w:pPr>
              <w:autoSpaceDE w:val="0"/>
              <w:autoSpaceDN w:val="0"/>
              <w:adjustRightInd w:val="0"/>
              <w:spacing w:after="0" w:line="240" w:lineRule="auto"/>
              <w:jc w:val="center"/>
              <w:rPr>
                <w:rFonts w:ascii="Times New Roman" w:eastAsia="Calibri" w:hAnsi="Times New Roman" w:cs="Times New Roman"/>
                <w:sz w:val="26"/>
                <w:szCs w:val="26"/>
              </w:rPr>
            </w:pPr>
            <w:r w:rsidRPr="00E529FD">
              <w:rPr>
                <w:rFonts w:ascii="Times New Roman" w:eastAsia="Calibri" w:hAnsi="Times New Roman" w:cs="Times New Roman"/>
                <w:sz w:val="26"/>
                <w:szCs w:val="26"/>
              </w:rPr>
              <w:t>UBND TỈNH LẠNG SƠN</w:t>
            </w:r>
          </w:p>
        </w:tc>
        <w:tc>
          <w:tcPr>
            <w:tcW w:w="7709" w:type="dxa"/>
          </w:tcPr>
          <w:p w14:paraId="3EFE4846" w14:textId="77777777" w:rsidR="00820E61" w:rsidRPr="00E529FD" w:rsidRDefault="00820E61" w:rsidP="00820E61">
            <w:pPr>
              <w:spacing w:after="0" w:line="240" w:lineRule="auto"/>
              <w:jc w:val="center"/>
              <w:rPr>
                <w:rFonts w:ascii="Times New Roman" w:eastAsia="Times New Roman" w:hAnsi="Times New Roman" w:cs="Times New Roman"/>
                <w:b/>
                <w:spacing w:val="-16"/>
                <w:sz w:val="26"/>
                <w:szCs w:val="26"/>
              </w:rPr>
            </w:pPr>
            <w:r w:rsidRPr="00E529FD">
              <w:rPr>
                <w:rFonts w:ascii="Times New Roman" w:eastAsia="Times New Roman" w:hAnsi="Times New Roman" w:cs="Times New Roman"/>
                <w:b/>
                <w:spacing w:val="-16"/>
                <w:sz w:val="26"/>
                <w:szCs w:val="26"/>
              </w:rPr>
              <w:t>CỘNG HÒA XÃ HỘI CHỦ NGHĨA VIỆT NAM</w:t>
            </w:r>
          </w:p>
        </w:tc>
      </w:tr>
      <w:tr w:rsidR="00820E61" w:rsidRPr="00820E61" w14:paraId="7B87A743" w14:textId="77777777" w:rsidTr="00652167">
        <w:trPr>
          <w:trHeight w:val="365"/>
          <w:jc w:val="center"/>
        </w:trPr>
        <w:tc>
          <w:tcPr>
            <w:tcW w:w="7030" w:type="dxa"/>
          </w:tcPr>
          <w:p w14:paraId="5394DCDD" w14:textId="6B2970A3" w:rsidR="00820E61" w:rsidRPr="00820E61" w:rsidRDefault="00557F55" w:rsidP="00820E61">
            <w:pPr>
              <w:autoSpaceDE w:val="0"/>
              <w:autoSpaceDN w:val="0"/>
              <w:adjustRightInd w:val="0"/>
              <w:spacing w:after="0" w:line="240" w:lineRule="auto"/>
              <w:jc w:val="center"/>
              <w:rPr>
                <w:rFonts w:ascii="Times New Roman" w:eastAsia="Calibri" w:hAnsi="Times New Roman" w:cs="Times New Roman"/>
                <w:b/>
                <w:bCs/>
                <w:spacing w:val="-18"/>
                <w:sz w:val="26"/>
                <w:szCs w:val="26"/>
              </w:rPr>
            </w:pPr>
            <w:r>
              <w:rPr>
                <w:rFonts w:ascii="Times New Roman" w:eastAsia="Times New Roman" w:hAnsi="Times New Roman" w:cs="Times New Roman"/>
                <w:noProof/>
                <w:sz w:val="26"/>
                <w:szCs w:val="26"/>
              </w:rPr>
              <w:pict w14:anchorId="47D43650">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142.8pt;margin-top:15.9pt;width:56.5pt;height:0;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" adj="-78448,-1,-78448"/>
              </w:pict>
            </w:r>
            <w:r w:rsidR="00820E61" w:rsidRPr="00820E61">
              <w:rPr>
                <w:rFonts w:ascii="Times New Roman" w:eastAsia="Calibri" w:hAnsi="Times New Roman" w:cs="Times New Roman"/>
                <w:b/>
                <w:bCs/>
                <w:spacing w:val="-18"/>
                <w:sz w:val="26"/>
                <w:szCs w:val="26"/>
              </w:rPr>
              <w:t xml:space="preserve">SỞ </w:t>
            </w:r>
            <w:r w:rsidR="00652167">
              <w:rPr>
                <w:rFonts w:ascii="Times New Roman" w:eastAsia="Calibri" w:hAnsi="Times New Roman" w:cs="Times New Roman"/>
                <w:b/>
                <w:bCs/>
                <w:spacing w:val="-18"/>
                <w:sz w:val="26"/>
                <w:szCs w:val="26"/>
              </w:rPr>
              <w:t>TÀI CHÍNH</w:t>
            </w:r>
          </w:p>
        </w:tc>
        <w:tc>
          <w:tcPr>
            <w:tcW w:w="7709" w:type="dxa"/>
          </w:tcPr>
          <w:p w14:paraId="10E9FC7B" w14:textId="77777777" w:rsidR="00820E61" w:rsidRPr="00E529FD" w:rsidRDefault="00557F55" w:rsidP="00820E6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i/>
                <w:noProof/>
                <w:sz w:val="28"/>
                <w:szCs w:val="28"/>
              </w:rPr>
              <w:pict w14:anchorId="333479B3">
                <v:shape id="Straight Arrow Connector 1" o:spid="_x0000_s1027" type="#_x0000_t32" style="position:absolute;left:0;text-align:left;margin-left:111.4pt;margin-top:15.9pt;width:150pt;height:0;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JlYJA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"/>
              </w:pict>
            </w:r>
            <w:r w:rsidR="00820E61" w:rsidRPr="00E529FD">
              <w:rPr>
                <w:rFonts w:ascii="Times New Roman" w:eastAsia="Times New Roman" w:hAnsi="Times New Roman" w:cs="Times New Roman"/>
                <w:b/>
                <w:sz w:val="28"/>
                <w:szCs w:val="28"/>
              </w:rPr>
              <w:t>Độc lập - Tự do - Hạnh phúc</w:t>
            </w:r>
          </w:p>
        </w:tc>
      </w:tr>
    </w:tbl>
    <w:p w14:paraId="1E28B877" w14:textId="77777777" w:rsidR="00820E61" w:rsidRDefault="00820E61" w:rsidP="00325A72">
      <w:pPr>
        <w:spacing w:after="0"/>
        <w:jc w:val="center"/>
        <w:rPr>
          <w:rFonts w:ascii="Times New Roman" w:hAnsi="Times New Roman" w:cs="Times New Roman"/>
          <w:b/>
          <w:sz w:val="28"/>
          <w:szCs w:val="28"/>
        </w:rPr>
      </w:pPr>
    </w:p>
    <w:p w14:paraId="1B398247" w14:textId="77777777" w:rsidR="00854EE0" w:rsidRDefault="00325A72" w:rsidP="00E529FD">
      <w:pPr>
        <w:spacing w:after="0"/>
        <w:jc w:val="center"/>
        <w:rPr>
          <w:rFonts w:ascii="Times New Roman" w:hAnsi="Times New Roman" w:cs="Times New Roman"/>
          <w:b/>
          <w:sz w:val="28"/>
          <w:szCs w:val="28"/>
        </w:rPr>
      </w:pPr>
      <w:r w:rsidRPr="00325A72">
        <w:rPr>
          <w:rFonts w:ascii="Times New Roman" w:hAnsi="Times New Roman" w:cs="Times New Roman"/>
          <w:b/>
          <w:sz w:val="28"/>
          <w:szCs w:val="28"/>
        </w:rPr>
        <w:t>B</w:t>
      </w:r>
      <w:r w:rsidR="00A21D8E">
        <w:rPr>
          <w:rFonts w:ascii="Times New Roman" w:hAnsi="Times New Roman" w:cs="Times New Roman"/>
          <w:b/>
          <w:sz w:val="28"/>
          <w:szCs w:val="28"/>
        </w:rPr>
        <w:t xml:space="preserve">ẢN SO SÁNH, </w:t>
      </w:r>
      <w:r w:rsidRPr="00325A72">
        <w:rPr>
          <w:rFonts w:ascii="Times New Roman" w:hAnsi="Times New Roman" w:cs="Times New Roman"/>
          <w:b/>
          <w:sz w:val="28"/>
          <w:szCs w:val="28"/>
        </w:rPr>
        <w:t>THUYẾT MINH NỘI DUNG DỰ THẢO NGHỊ QUYẾT</w:t>
      </w:r>
      <w:r w:rsidR="00234FF2">
        <w:rPr>
          <w:rFonts w:ascii="Times New Roman" w:hAnsi="Times New Roman" w:cs="Times New Roman"/>
          <w:b/>
          <w:sz w:val="28"/>
          <w:szCs w:val="28"/>
        </w:rPr>
        <w:t xml:space="preserve"> HỘI ĐỒNG NHÂN DÂN TỈNH</w:t>
      </w:r>
    </w:p>
    <w:p w14:paraId="72ADFAC6" w14:textId="1826F057" w:rsidR="00BD5DCA" w:rsidRDefault="00E529FD" w:rsidP="00E529FD">
      <w:pPr>
        <w:spacing w:after="0"/>
        <w:jc w:val="center"/>
        <w:rPr>
          <w:rFonts w:ascii="Times New Roman" w:hAnsi="Times New Roman"/>
          <w:b/>
          <w:sz w:val="28"/>
          <w:szCs w:val="28"/>
          <w:lang w:val="nl-NL"/>
        </w:rPr>
      </w:pPr>
      <w:r w:rsidRPr="00E529FD">
        <w:rPr>
          <w:rFonts w:ascii="Times New Roman" w:hAnsi="Times New Roman"/>
          <w:b/>
          <w:sz w:val="28"/>
          <w:szCs w:val="28"/>
          <w:lang w:val="nl-NL"/>
        </w:rPr>
        <w:t xml:space="preserve">Quy định </w:t>
      </w:r>
      <w:r w:rsidR="00652167" w:rsidRPr="00652167">
        <w:rPr>
          <w:rFonts w:ascii="Times New Roman" w:hAnsi="Times New Roman"/>
          <w:b/>
          <w:sz w:val="28"/>
          <w:szCs w:val="28"/>
          <w:lang w:val="nl-NL"/>
        </w:rPr>
        <w:t xml:space="preserve">nguyên tắc, tiêu chí và định mức phân bổ vốn đầu tư công nguồn ngân sách địa phương </w:t>
      </w:r>
      <w:r w:rsidR="00652167">
        <w:rPr>
          <w:rFonts w:ascii="Times New Roman" w:hAnsi="Times New Roman"/>
          <w:b/>
          <w:sz w:val="28"/>
          <w:szCs w:val="28"/>
          <w:lang w:val="nl-NL"/>
        </w:rPr>
        <w:br/>
      </w:r>
      <w:r w:rsidR="00652167" w:rsidRPr="00652167">
        <w:rPr>
          <w:rFonts w:ascii="Times New Roman" w:hAnsi="Times New Roman"/>
          <w:b/>
          <w:sz w:val="28"/>
          <w:szCs w:val="28"/>
          <w:lang w:val="nl-NL"/>
        </w:rPr>
        <w:t>giai đoạn 2026-2030 trên địa bàn tỉnh Lạng Sơn</w:t>
      </w:r>
    </w:p>
    <w:p w14:paraId="62DD0D42" w14:textId="77777777" w:rsidR="00E529FD" w:rsidRPr="00E529FD" w:rsidRDefault="00E529FD" w:rsidP="00E529FD">
      <w:pPr>
        <w:spacing w:after="0"/>
        <w:jc w:val="center"/>
        <w:rPr>
          <w:rFonts w:ascii="Times New Roman" w:hAnsi="Times New Roman"/>
          <w:b/>
          <w:sz w:val="28"/>
          <w:szCs w:val="28"/>
          <w:lang w:val="nl-NL"/>
        </w:rPr>
      </w:pPr>
    </w:p>
    <w:tbl>
      <w:tblPr>
        <w:tblStyle w:val="TableGrid"/>
        <w:tblW w:w="15060" w:type="dxa"/>
        <w:tblInd w:w="108" w:type="dxa"/>
        <w:tblLayout w:type="fixed"/>
        <w:tblLook w:val="04A0" w:firstRow="1" w:lastRow="0" w:firstColumn="1" w:lastColumn="0" w:noHBand="0" w:noVBand="1"/>
      </w:tblPr>
      <w:tblGrid>
        <w:gridCol w:w="4111"/>
        <w:gridCol w:w="5812"/>
        <w:gridCol w:w="5137"/>
      </w:tblGrid>
      <w:tr w:rsidR="00D334EA" w:rsidRPr="00F53AA8" w14:paraId="7FC54776" w14:textId="77777777" w:rsidTr="004357AA">
        <w:trPr>
          <w:trHeight w:val="597"/>
        </w:trPr>
        <w:tc>
          <w:tcPr>
            <w:tcW w:w="4111" w:type="dxa"/>
            <w:vAlign w:val="center"/>
          </w:tcPr>
          <w:p w14:paraId="177A7EA9" w14:textId="326ED821" w:rsidR="00D334EA" w:rsidRPr="004357AA" w:rsidRDefault="00D50C2E" w:rsidP="004357AA">
            <w:pPr>
              <w:spacing w:before="60" w:after="60"/>
              <w:jc w:val="center"/>
              <w:rPr>
                <w:rFonts w:ascii="Times New Roman" w:hAnsi="Times New Roman" w:cs="Times New Roman"/>
                <w:b/>
                <w:bCs/>
                <w:sz w:val="24"/>
                <w:szCs w:val="24"/>
              </w:rPr>
            </w:pPr>
            <w:r w:rsidRPr="004357AA">
              <w:rPr>
                <w:rFonts w:ascii="Times New Roman" w:hAnsi="Times New Roman" w:cs="Times New Roman"/>
                <w:b/>
                <w:bCs/>
                <w:sz w:val="24"/>
                <w:szCs w:val="24"/>
              </w:rPr>
              <w:t>QUY PHẠM PHÁP LUẬT HIỆN HÀNH</w:t>
            </w:r>
          </w:p>
        </w:tc>
        <w:tc>
          <w:tcPr>
            <w:tcW w:w="5812" w:type="dxa"/>
            <w:tcBorders>
              <w:bottom w:val="single" w:sz="4" w:space="0" w:color="auto"/>
            </w:tcBorders>
            <w:noWrap/>
            <w:vAlign w:val="center"/>
            <w:hideMark/>
          </w:tcPr>
          <w:p w14:paraId="5159CF44" w14:textId="77777777" w:rsidR="00D334EA" w:rsidRPr="004357AA" w:rsidRDefault="00D334EA" w:rsidP="004357AA">
            <w:pPr>
              <w:spacing w:before="60" w:after="60"/>
              <w:jc w:val="center"/>
              <w:rPr>
                <w:rFonts w:ascii="Times New Roman" w:hAnsi="Times New Roman" w:cs="Times New Roman"/>
                <w:b/>
                <w:bCs/>
                <w:sz w:val="24"/>
                <w:szCs w:val="24"/>
              </w:rPr>
            </w:pPr>
            <w:r w:rsidRPr="004357AA">
              <w:rPr>
                <w:rFonts w:ascii="Times New Roman" w:hAnsi="Times New Roman" w:cs="Times New Roman"/>
                <w:b/>
                <w:bCs/>
                <w:sz w:val="24"/>
                <w:szCs w:val="24"/>
              </w:rPr>
              <w:t>DỰ THẢO NGHỊ QUYẾT</w:t>
            </w:r>
          </w:p>
        </w:tc>
        <w:tc>
          <w:tcPr>
            <w:tcW w:w="5137" w:type="dxa"/>
            <w:noWrap/>
            <w:vAlign w:val="center"/>
            <w:hideMark/>
          </w:tcPr>
          <w:p w14:paraId="7D71548B" w14:textId="77777777" w:rsidR="00D334EA" w:rsidRPr="004357AA" w:rsidRDefault="008A3F5D" w:rsidP="004357AA">
            <w:pPr>
              <w:spacing w:before="60" w:after="60"/>
              <w:jc w:val="center"/>
              <w:rPr>
                <w:rFonts w:ascii="Times New Roman" w:hAnsi="Times New Roman" w:cs="Times New Roman"/>
                <w:b/>
                <w:bCs/>
                <w:sz w:val="24"/>
                <w:szCs w:val="24"/>
              </w:rPr>
            </w:pPr>
            <w:r w:rsidRPr="004357AA">
              <w:rPr>
                <w:rFonts w:ascii="Times New Roman" w:hAnsi="Times New Roman" w:cs="Times New Roman"/>
                <w:b/>
                <w:bCs/>
                <w:sz w:val="24"/>
                <w:szCs w:val="24"/>
              </w:rPr>
              <w:t>THUYẾT MINH</w:t>
            </w:r>
          </w:p>
        </w:tc>
      </w:tr>
      <w:tr w:rsidR="00A357BB" w:rsidRPr="00976D67" w14:paraId="0C12F910" w14:textId="77777777" w:rsidTr="004357AA">
        <w:trPr>
          <w:trHeight w:val="132"/>
        </w:trPr>
        <w:tc>
          <w:tcPr>
            <w:tcW w:w="4111" w:type="dxa"/>
            <w:vMerge w:val="restart"/>
          </w:tcPr>
          <w:p w14:paraId="12294518" w14:textId="30427D8E" w:rsidR="00285DBD" w:rsidRPr="004357AA" w:rsidRDefault="00285DBD" w:rsidP="00C14E1E">
            <w:pPr>
              <w:spacing w:before="60" w:after="60"/>
              <w:jc w:val="both"/>
              <w:rPr>
                <w:rFonts w:ascii="Times New Roman" w:hAnsi="Times New Roman" w:cs="Times New Roman"/>
                <w:bCs/>
                <w:sz w:val="24"/>
                <w:szCs w:val="24"/>
              </w:rPr>
            </w:pPr>
            <w:r w:rsidRPr="004357AA">
              <w:rPr>
                <w:rFonts w:ascii="Times New Roman" w:hAnsi="Times New Roman" w:cs="Times New Roman"/>
                <w:bCs/>
                <w:sz w:val="24"/>
                <w:szCs w:val="24"/>
              </w:rPr>
              <w:t xml:space="preserve">Căn cứ Khoản 1 Điều 1, Quyết định số 18/2026/QĐ-TTg ngày 15/4/2026 của Thủ tướng Chính phủ quy định chi tiết thi hành một số điều của Nghị quyết số 70/2025/UBTVQH15 ngày 07 tháng 02 năm 2025 được sửa đổi, bổ sung một số điều tại Nghị quyết số 120/2026/UBTVQH15 ngày 03 tháng 02 năm 2026 của Ủy ban Thường vụ Quốc hội quy định về nguyên tắc, tiêu chí và định mức phân bổ vốn đầu tư công nguồn ngân sách nhà nước giai đoạn 2026 – 2030. </w:t>
            </w:r>
            <w:r w:rsidRPr="004357AA">
              <w:rPr>
                <w:rFonts w:ascii="Times New Roman" w:hAnsi="Times New Roman" w:cs="Times New Roman"/>
                <w:sz w:val="24"/>
                <w:szCs w:val="24"/>
              </w:rPr>
              <w:t xml:space="preserve">Khoản 1 Điều 6 quy định: </w:t>
            </w:r>
            <w:r w:rsidRPr="004357AA">
              <w:rPr>
                <w:rStyle w:val="BodyTextChar"/>
                <w:rFonts w:ascii="Times New Roman" w:eastAsiaTheme="minorHAnsi" w:hAnsi="Times New Roman"/>
                <w:b w:val="0"/>
                <w:sz w:val="24"/>
                <w:szCs w:val="24"/>
                <w:lang w:eastAsia="vi-VN"/>
              </w:rPr>
              <w:t>“</w:t>
            </w:r>
            <w:r w:rsidRPr="004357AA">
              <w:rPr>
                <w:rFonts w:ascii="Times New Roman" w:hAnsi="Times New Roman" w:cs="Times New Roman"/>
                <w:i/>
                <w:iCs/>
                <w:sz w:val="24"/>
                <w:szCs w:val="24"/>
              </w:rPr>
              <w:t xml:space="preserve">Ủy ban nhân dân các tỉnh, thành phố trực thuộc trung ương trình Hội đồng nhân dân cấp tỉnh ban hành nguyên tắc, tiêu chí và định mức phân bổ vốn đầu tư công </w:t>
            </w:r>
            <w:r w:rsidRPr="004357AA">
              <w:rPr>
                <w:rFonts w:ascii="Times New Roman" w:hAnsi="Times New Roman" w:cs="Times New Roman"/>
                <w:b/>
                <w:bCs/>
                <w:i/>
                <w:iCs/>
                <w:sz w:val="24"/>
                <w:szCs w:val="24"/>
              </w:rPr>
              <w:t>nguồn ngân sách địa phương giai đoạn 2026 – 2030</w:t>
            </w:r>
            <w:r w:rsidRPr="004357AA">
              <w:rPr>
                <w:rFonts w:ascii="Times New Roman" w:hAnsi="Times New Roman" w:cs="Times New Roman"/>
                <w:i/>
                <w:iCs/>
                <w:sz w:val="24"/>
                <w:szCs w:val="24"/>
              </w:rPr>
              <w:t xml:space="preserve"> theo quy định pháp luật về ngân sách nhà nước và đầu tư công, khả năng tài chính và đặc điểm tình hình của địa </w:t>
            </w:r>
            <w:r w:rsidRPr="004357AA">
              <w:rPr>
                <w:rFonts w:ascii="Times New Roman" w:hAnsi="Times New Roman" w:cs="Times New Roman"/>
                <w:i/>
                <w:iCs/>
                <w:sz w:val="24"/>
                <w:szCs w:val="24"/>
              </w:rPr>
              <w:lastRenderedPageBreak/>
              <w:t>phương.”.</w:t>
            </w:r>
          </w:p>
          <w:p w14:paraId="4E537A85" w14:textId="01D78303" w:rsidR="00A357BB" w:rsidRPr="004357AA" w:rsidRDefault="00A357BB" w:rsidP="00C14E1E">
            <w:pPr>
              <w:spacing w:before="60" w:after="60"/>
              <w:jc w:val="both"/>
              <w:rPr>
                <w:rFonts w:ascii="Times New Roman" w:hAnsi="Times New Roman" w:cs="Times New Roman"/>
                <w:bCs/>
                <w:sz w:val="24"/>
                <w:szCs w:val="24"/>
              </w:rPr>
            </w:pPr>
          </w:p>
        </w:tc>
        <w:tc>
          <w:tcPr>
            <w:tcW w:w="5812" w:type="dxa"/>
            <w:noWrap/>
          </w:tcPr>
          <w:p w14:paraId="40FB9D1B" w14:textId="77777777" w:rsidR="00A357BB" w:rsidRPr="004357AA" w:rsidRDefault="00A357BB" w:rsidP="00C14E1E">
            <w:pPr>
              <w:widowControl w:val="0"/>
              <w:shd w:val="clear" w:color="auto" w:fill="FFFFFF"/>
              <w:spacing w:before="60" w:after="60"/>
              <w:jc w:val="both"/>
              <w:rPr>
                <w:rFonts w:ascii="Times New Roman" w:eastAsia="Times New Roman" w:hAnsi="Times New Roman" w:cs="Times New Roman"/>
                <w:bCs/>
                <w:color w:val="000000"/>
                <w:sz w:val="24"/>
                <w:szCs w:val="24"/>
                <w:lang w:val="nl-NL"/>
              </w:rPr>
            </w:pPr>
            <w:r w:rsidRPr="004357AA">
              <w:rPr>
                <w:rFonts w:ascii="Times New Roman" w:eastAsia="Times New Roman" w:hAnsi="Times New Roman" w:cs="Times New Roman"/>
                <w:b/>
                <w:bCs/>
                <w:color w:val="000000"/>
                <w:sz w:val="24"/>
                <w:szCs w:val="24"/>
                <w:lang w:val="nl-NL"/>
              </w:rPr>
              <w:lastRenderedPageBreak/>
              <w:t>Điều 1.</w:t>
            </w:r>
            <w:r w:rsidRPr="004357AA">
              <w:rPr>
                <w:rFonts w:ascii="Times New Roman" w:eastAsia="Times New Roman" w:hAnsi="Times New Roman" w:cs="Times New Roman"/>
                <w:bCs/>
                <w:color w:val="000000"/>
                <w:sz w:val="24"/>
                <w:szCs w:val="24"/>
                <w:lang w:val="nl-NL"/>
              </w:rPr>
              <w:t xml:space="preserve"> </w:t>
            </w:r>
            <w:r w:rsidRPr="004357AA">
              <w:rPr>
                <w:rFonts w:ascii="Times New Roman" w:eastAsia="Times New Roman" w:hAnsi="Times New Roman" w:cs="Times New Roman"/>
                <w:b/>
                <w:bCs/>
                <w:color w:val="000000"/>
                <w:sz w:val="24"/>
                <w:szCs w:val="24"/>
                <w:lang w:val="nl-NL"/>
              </w:rPr>
              <w:t>Phạm vi điều chỉnh</w:t>
            </w:r>
          </w:p>
          <w:p w14:paraId="73901582" w14:textId="05583A50" w:rsidR="00A357BB" w:rsidRPr="004357AA" w:rsidRDefault="00E45E96" w:rsidP="00C14E1E">
            <w:pPr>
              <w:widowControl w:val="0"/>
              <w:shd w:val="clear" w:color="auto" w:fill="FFFFFF"/>
              <w:spacing w:before="60" w:after="60"/>
              <w:jc w:val="both"/>
              <w:rPr>
                <w:rFonts w:ascii="Times New Roman" w:hAnsi="Times New Roman" w:cs="Times New Roman"/>
                <w:bCs/>
                <w:iCs/>
                <w:sz w:val="24"/>
                <w:szCs w:val="24"/>
              </w:rPr>
            </w:pPr>
            <w:r w:rsidRPr="004357AA">
              <w:rPr>
                <w:rFonts w:ascii="Times New Roman" w:eastAsia="Times New Roman" w:hAnsi="Times New Roman" w:cs="Times New Roman"/>
                <w:bCs/>
                <w:color w:val="000000"/>
                <w:sz w:val="24"/>
                <w:szCs w:val="24"/>
                <w:lang w:val="nl-NL"/>
              </w:rPr>
              <w:t>Nghị quyết này quy định về nguyên tắc, tiêu chí và định mức phân bổ vốn đầu tư công nguồn ngân sách địa phương giai đoạn 2026 - 2030 trên địa bàn tỉnh Lạng Sơn. Nguyên tắc, tiêu chí phân bổ tại Nghị quyết này là căn cứ để các cấp ngân sách lập kế hoạch đầu tư công trung hạn và hằng năm giai đoạn 2026-2030; đồng thời là căn cứ để quản lý, giám sát, thanh tra, kiểm tra việc thực hiện kế hoạch đầu tư công trung hạn và hằng năm.</w:t>
            </w:r>
          </w:p>
        </w:tc>
        <w:tc>
          <w:tcPr>
            <w:tcW w:w="5137" w:type="dxa"/>
            <w:tcBorders>
              <w:bottom w:val="single" w:sz="4" w:space="0" w:color="auto"/>
            </w:tcBorders>
            <w:noWrap/>
            <w:vAlign w:val="center"/>
          </w:tcPr>
          <w:p w14:paraId="79960A38" w14:textId="0E646D68" w:rsidR="00A357BB" w:rsidRPr="004357AA" w:rsidRDefault="00A357BB" w:rsidP="00C14E1E">
            <w:pPr>
              <w:widowControl w:val="0"/>
              <w:spacing w:before="60" w:after="60"/>
              <w:jc w:val="both"/>
              <w:rPr>
                <w:rFonts w:ascii="Times New Roman" w:hAnsi="Times New Roman" w:cs="Times New Roman"/>
                <w:bCs/>
                <w:sz w:val="24"/>
                <w:szCs w:val="24"/>
              </w:rPr>
            </w:pPr>
            <w:r w:rsidRPr="004357AA">
              <w:rPr>
                <w:rFonts w:ascii="Times New Roman" w:hAnsi="Times New Roman" w:cs="Times New Roman"/>
                <w:bCs/>
                <w:sz w:val="24"/>
                <w:szCs w:val="24"/>
              </w:rPr>
              <w:t xml:space="preserve">Căn cứ </w:t>
            </w:r>
            <w:r w:rsidR="00925209" w:rsidRPr="004357AA">
              <w:rPr>
                <w:rFonts w:ascii="Times New Roman" w:hAnsi="Times New Roman" w:cs="Times New Roman"/>
                <w:bCs/>
                <w:sz w:val="24"/>
                <w:szCs w:val="24"/>
              </w:rPr>
              <w:t xml:space="preserve">Khoản 1 </w:t>
            </w:r>
            <w:r w:rsidRPr="004357AA">
              <w:rPr>
                <w:rFonts w:ascii="Times New Roman" w:hAnsi="Times New Roman" w:cs="Times New Roman"/>
                <w:bCs/>
                <w:sz w:val="24"/>
                <w:szCs w:val="24"/>
              </w:rPr>
              <w:t>Điều 1, Quyết định số 1</w:t>
            </w:r>
            <w:r w:rsidR="00925209" w:rsidRPr="004357AA">
              <w:rPr>
                <w:rFonts w:ascii="Times New Roman" w:hAnsi="Times New Roman" w:cs="Times New Roman"/>
                <w:bCs/>
                <w:sz w:val="24"/>
                <w:szCs w:val="24"/>
              </w:rPr>
              <w:t>8</w:t>
            </w:r>
            <w:r w:rsidRPr="004357AA">
              <w:rPr>
                <w:rFonts w:ascii="Times New Roman" w:hAnsi="Times New Roman" w:cs="Times New Roman"/>
                <w:bCs/>
                <w:sz w:val="24"/>
                <w:szCs w:val="24"/>
              </w:rPr>
              <w:t>/2026/QĐ-TTg ngày 15/4/2026 của Thủ tướng Chính phủ</w:t>
            </w:r>
            <w:r w:rsidR="00925209" w:rsidRPr="004357AA">
              <w:rPr>
                <w:rFonts w:ascii="Times New Roman" w:hAnsi="Times New Roman" w:cs="Times New Roman"/>
                <w:bCs/>
                <w:sz w:val="24"/>
                <w:szCs w:val="24"/>
              </w:rPr>
              <w:t xml:space="preserve">: </w:t>
            </w:r>
            <w:r w:rsidR="00925209" w:rsidRPr="00C14E1E">
              <w:rPr>
                <w:rFonts w:ascii="Times New Roman" w:hAnsi="Times New Roman" w:cs="Times New Roman"/>
                <w:bCs/>
                <w:i/>
                <w:sz w:val="24"/>
                <w:szCs w:val="24"/>
              </w:rPr>
              <w:t>“</w:t>
            </w:r>
            <w:r w:rsidR="00925209" w:rsidRPr="00C14E1E">
              <w:rPr>
                <w:rFonts w:ascii="Times New Roman" w:hAnsi="Times New Roman" w:cs="Times New Roman"/>
                <w:bCs/>
                <w:i/>
                <w:sz w:val="24"/>
                <w:szCs w:val="24"/>
                <w:lang w:val="en-GB"/>
              </w:rPr>
              <w:t>1. Quyết định này quy định chi tiết thi hành </w:t>
            </w:r>
            <w:bookmarkStart w:id="0" w:name="dc_1"/>
            <w:r w:rsidR="00925209" w:rsidRPr="00C14E1E">
              <w:rPr>
                <w:rFonts w:ascii="Times New Roman" w:hAnsi="Times New Roman" w:cs="Times New Roman"/>
                <w:bCs/>
                <w:i/>
                <w:sz w:val="24"/>
                <w:szCs w:val="24"/>
                <w:lang w:val="en-GB"/>
              </w:rPr>
              <w:t>Điều 3, Điều 4, Điều 8, Điều 9 Nghị quyết số 70/2025/UBTVQH15</w:t>
            </w:r>
            <w:bookmarkEnd w:id="0"/>
            <w:r w:rsidR="00925209" w:rsidRPr="00C14E1E">
              <w:rPr>
                <w:rFonts w:ascii="Times New Roman" w:hAnsi="Times New Roman" w:cs="Times New Roman"/>
                <w:bCs/>
                <w:i/>
                <w:sz w:val="24"/>
                <w:szCs w:val="24"/>
                <w:lang w:val="en-GB"/>
              </w:rPr>
              <w:t> ngày 07 tháng 02 năm 2025 của Ủy ban Thường vụ Quốc hội quy định về nguyên tắc, tiêu chí và định mức phân bổ vốn đầu tư công nguồn ngân sách nhà nước giai đoạn 2026 - 2030 được sửa đổi, bổ sung tại Nghị quyết số </w:t>
            </w:r>
            <w:bookmarkStart w:id="1" w:name="tvpllink_rtqbznfoof_2"/>
            <w:r w:rsidR="00925209" w:rsidRPr="00C14E1E">
              <w:rPr>
                <w:rFonts w:ascii="Times New Roman" w:hAnsi="Times New Roman" w:cs="Times New Roman"/>
                <w:bCs/>
                <w:i/>
                <w:sz w:val="24"/>
                <w:szCs w:val="24"/>
                <w:lang w:val="en-GB"/>
              </w:rPr>
              <w:fldChar w:fldCharType="begin"/>
            </w:r>
            <w:r w:rsidR="00925209" w:rsidRPr="00C14E1E">
              <w:rPr>
                <w:rFonts w:ascii="Times New Roman" w:hAnsi="Times New Roman" w:cs="Times New Roman"/>
                <w:bCs/>
                <w:i/>
                <w:sz w:val="24"/>
                <w:szCs w:val="24"/>
                <w:lang w:val="en-GB"/>
              </w:rPr>
              <w:instrText>HYPERLINK "https://thuvienphapluat.vn/van-ban/Dau-tu/Nghi-quyet-120-2026-UBTVQH15-sua-doi-70-2025-UBTVQH15-phan-bo-von-dau-tu-cong-giai-doan-2026-2030-694952.aspx" \t "_blank"</w:instrText>
            </w:r>
            <w:r w:rsidR="00925209" w:rsidRPr="00C14E1E">
              <w:rPr>
                <w:rFonts w:ascii="Times New Roman" w:hAnsi="Times New Roman" w:cs="Times New Roman"/>
                <w:bCs/>
                <w:i/>
                <w:sz w:val="24"/>
                <w:szCs w:val="24"/>
                <w:lang w:val="en-GB"/>
              </w:rPr>
              <w:fldChar w:fldCharType="separate"/>
            </w:r>
            <w:r w:rsidR="00925209" w:rsidRPr="00C14E1E">
              <w:rPr>
                <w:rFonts w:ascii="Times New Roman" w:hAnsi="Times New Roman" w:cs="Times New Roman"/>
                <w:i/>
                <w:sz w:val="24"/>
                <w:szCs w:val="24"/>
                <w:lang w:val="en-GB"/>
              </w:rPr>
              <w:t>120/2026/UBTVQH15</w:t>
            </w:r>
            <w:r w:rsidR="00925209" w:rsidRPr="00C14E1E">
              <w:rPr>
                <w:rFonts w:ascii="Times New Roman" w:hAnsi="Times New Roman" w:cs="Times New Roman"/>
                <w:bCs/>
                <w:i/>
                <w:sz w:val="24"/>
                <w:szCs w:val="24"/>
                <w:lang w:val="en-GB"/>
              </w:rPr>
              <w:fldChar w:fldCharType="end"/>
            </w:r>
            <w:bookmarkEnd w:id="1"/>
            <w:r w:rsidR="00925209" w:rsidRPr="00C14E1E">
              <w:rPr>
                <w:rFonts w:ascii="Times New Roman" w:hAnsi="Times New Roman" w:cs="Times New Roman"/>
                <w:bCs/>
                <w:i/>
                <w:sz w:val="24"/>
                <w:szCs w:val="24"/>
                <w:lang w:val="en-GB"/>
              </w:rPr>
              <w:t> ngày 03 tháng 02 năm 2026 của Ủy ban Thường vụ Quốc hội.”</w:t>
            </w:r>
          </w:p>
        </w:tc>
      </w:tr>
      <w:tr w:rsidR="00A357BB" w:rsidRPr="00BE001A" w14:paraId="34945A16" w14:textId="77777777" w:rsidTr="004357AA">
        <w:trPr>
          <w:trHeight w:val="551"/>
        </w:trPr>
        <w:tc>
          <w:tcPr>
            <w:tcW w:w="4111" w:type="dxa"/>
            <w:vMerge/>
          </w:tcPr>
          <w:p w14:paraId="1C14297F" w14:textId="1FAD67FB" w:rsidR="00A357BB" w:rsidRPr="004357AA" w:rsidRDefault="00A357BB" w:rsidP="00C14E1E">
            <w:pPr>
              <w:spacing w:before="60" w:after="60"/>
              <w:jc w:val="both"/>
              <w:rPr>
                <w:rFonts w:ascii="Times New Roman" w:eastAsia="Calibri" w:hAnsi="Times New Roman" w:cs="Times New Roman"/>
                <w:sz w:val="24"/>
                <w:szCs w:val="24"/>
                <w:lang w:val="nl-NL"/>
              </w:rPr>
            </w:pPr>
          </w:p>
        </w:tc>
        <w:tc>
          <w:tcPr>
            <w:tcW w:w="5812" w:type="dxa"/>
          </w:tcPr>
          <w:p w14:paraId="053F8502" w14:textId="77777777" w:rsidR="00A357BB" w:rsidRPr="004357AA" w:rsidRDefault="00A357BB"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
                <w:sz w:val="24"/>
                <w:szCs w:val="24"/>
                <w:lang w:val="nl-NL"/>
              </w:rPr>
            </w:pPr>
            <w:r w:rsidRPr="004357AA">
              <w:rPr>
                <w:rFonts w:ascii="Times New Roman" w:eastAsia="Calibri" w:hAnsi="Times New Roman" w:cs="Times New Roman"/>
                <w:b/>
                <w:sz w:val="24"/>
                <w:szCs w:val="24"/>
                <w:lang w:val="nl-NL"/>
              </w:rPr>
              <w:t>Điều 2. Đối tượng áp dụng</w:t>
            </w:r>
          </w:p>
          <w:p w14:paraId="64991F09" w14:textId="7DDFC0B2" w:rsidR="00A357BB" w:rsidRPr="004357AA" w:rsidRDefault="00E45E96"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sz w:val="24"/>
                <w:szCs w:val="24"/>
                <w:lang w:val="nl-NL"/>
              </w:rPr>
            </w:pPr>
            <w:r w:rsidRPr="004357AA">
              <w:rPr>
                <w:rFonts w:ascii="Times New Roman" w:eastAsia="Calibri" w:hAnsi="Times New Roman" w:cs="Times New Roman"/>
                <w:sz w:val="24"/>
                <w:szCs w:val="24"/>
                <w:lang w:val="nl-NL"/>
              </w:rPr>
              <w:t>Các sở, ban, ngành, Ủy ban nhân dân các xã, phường và các tổ chức, cá nhân có liên quan trong quá trình lập kế hoạch, quản lý, sử dụng vốn đầu tư công nguồn ngân sách địa phương giai đoạn 2026 - 2030.</w:t>
            </w:r>
          </w:p>
        </w:tc>
        <w:tc>
          <w:tcPr>
            <w:tcW w:w="5137" w:type="dxa"/>
            <w:vAlign w:val="center"/>
          </w:tcPr>
          <w:p w14:paraId="48E5E6D5" w14:textId="77777777" w:rsidR="00925209" w:rsidRPr="004357AA" w:rsidRDefault="00925209" w:rsidP="00C14E1E">
            <w:pPr>
              <w:widowControl w:val="0"/>
              <w:spacing w:before="60" w:after="60"/>
              <w:jc w:val="both"/>
              <w:rPr>
                <w:rFonts w:ascii="Times New Roman" w:hAnsi="Times New Roman" w:cs="Times New Roman"/>
                <w:bCs/>
                <w:sz w:val="24"/>
                <w:szCs w:val="24"/>
              </w:rPr>
            </w:pPr>
            <w:r w:rsidRPr="004357AA">
              <w:rPr>
                <w:rFonts w:ascii="Times New Roman" w:hAnsi="Times New Roman" w:cs="Times New Roman"/>
                <w:bCs/>
                <w:sz w:val="24"/>
                <w:szCs w:val="24"/>
              </w:rPr>
              <w:t xml:space="preserve">Căn cứ Khoản 2 Điều 1, Quyết định số 18/2026/QĐ-TTg ngày 15/4/2026 của Thủ tướng Chính phủ: </w:t>
            </w:r>
          </w:p>
          <w:p w14:paraId="7DE9F88C" w14:textId="2D3AEEBF" w:rsidR="00925209" w:rsidRPr="00C14E1E" w:rsidRDefault="00925209" w:rsidP="00C14E1E">
            <w:pPr>
              <w:widowControl w:val="0"/>
              <w:spacing w:before="60" w:after="60"/>
              <w:jc w:val="both"/>
              <w:rPr>
                <w:rFonts w:ascii="Times New Roman" w:hAnsi="Times New Roman" w:cs="Times New Roman"/>
                <w:bCs/>
                <w:i/>
                <w:sz w:val="24"/>
                <w:szCs w:val="24"/>
              </w:rPr>
            </w:pPr>
            <w:r w:rsidRPr="00C14E1E">
              <w:rPr>
                <w:rFonts w:ascii="Times New Roman" w:hAnsi="Times New Roman" w:cs="Times New Roman"/>
                <w:bCs/>
                <w:i/>
                <w:sz w:val="24"/>
                <w:szCs w:val="24"/>
              </w:rPr>
              <w:t>“2. Đối tượng áp dụng:</w:t>
            </w:r>
          </w:p>
          <w:p w14:paraId="13F10B1F" w14:textId="77777777" w:rsidR="00925209" w:rsidRPr="00C14E1E" w:rsidRDefault="00925209" w:rsidP="00C14E1E">
            <w:pPr>
              <w:widowControl w:val="0"/>
              <w:spacing w:before="60" w:after="60"/>
              <w:jc w:val="both"/>
              <w:rPr>
                <w:rFonts w:ascii="Times New Roman" w:hAnsi="Times New Roman" w:cs="Times New Roman"/>
                <w:bCs/>
                <w:i/>
                <w:sz w:val="24"/>
                <w:szCs w:val="24"/>
              </w:rPr>
            </w:pPr>
            <w:r w:rsidRPr="00C14E1E">
              <w:rPr>
                <w:rFonts w:ascii="Times New Roman" w:hAnsi="Times New Roman" w:cs="Times New Roman"/>
                <w:bCs/>
                <w:i/>
                <w:sz w:val="24"/>
                <w:szCs w:val="24"/>
              </w:rPr>
              <w:t>a) Bộ, cơ quan trung ương và địa phương theo quy định tại </w:t>
            </w:r>
            <w:bookmarkStart w:id="2" w:name="tvpllink_egevmdwtbo_1"/>
            <w:r w:rsidRPr="00C14E1E">
              <w:rPr>
                <w:rFonts w:ascii="Times New Roman" w:hAnsi="Times New Roman" w:cs="Times New Roman"/>
                <w:bCs/>
                <w:i/>
                <w:sz w:val="24"/>
                <w:szCs w:val="24"/>
              </w:rPr>
              <w:fldChar w:fldCharType="begin"/>
            </w:r>
            <w:r w:rsidRPr="00C14E1E">
              <w:rPr>
                <w:rFonts w:ascii="Times New Roman" w:hAnsi="Times New Roman" w:cs="Times New Roman"/>
                <w:bCs/>
                <w:i/>
                <w:sz w:val="24"/>
                <w:szCs w:val="24"/>
              </w:rPr>
              <w:instrText>HYPERLINK "https://thuvienphapluat.vn/van-ban/Dau-tu/Luat-Dau-tu-cong-2024-so-58-2024-QH15-621645.aspx" \t "_blank"</w:instrText>
            </w:r>
            <w:r w:rsidRPr="00C14E1E">
              <w:rPr>
                <w:rFonts w:ascii="Times New Roman" w:hAnsi="Times New Roman" w:cs="Times New Roman"/>
                <w:bCs/>
                <w:i/>
                <w:sz w:val="24"/>
                <w:szCs w:val="24"/>
              </w:rPr>
              <w:fldChar w:fldCharType="separate"/>
            </w:r>
            <w:r w:rsidRPr="00C14E1E">
              <w:rPr>
                <w:rFonts w:ascii="Times New Roman" w:hAnsi="Times New Roman" w:cs="Times New Roman"/>
                <w:i/>
                <w:sz w:val="24"/>
                <w:szCs w:val="24"/>
              </w:rPr>
              <w:t>Luật Đầu tư công</w:t>
            </w:r>
            <w:r w:rsidRPr="00C14E1E">
              <w:rPr>
                <w:rFonts w:ascii="Times New Roman" w:hAnsi="Times New Roman" w:cs="Times New Roman"/>
                <w:bCs/>
                <w:i/>
                <w:sz w:val="24"/>
                <w:szCs w:val="24"/>
              </w:rPr>
              <w:fldChar w:fldCharType="end"/>
            </w:r>
            <w:bookmarkEnd w:id="2"/>
            <w:r w:rsidRPr="00C14E1E">
              <w:rPr>
                <w:rFonts w:ascii="Times New Roman" w:hAnsi="Times New Roman" w:cs="Times New Roman"/>
                <w:bCs/>
                <w:i/>
                <w:sz w:val="24"/>
                <w:szCs w:val="24"/>
              </w:rPr>
              <w:t>.</w:t>
            </w:r>
          </w:p>
          <w:p w14:paraId="61487A9A" w14:textId="3372DFA9" w:rsidR="00A357BB" w:rsidRPr="004357AA" w:rsidRDefault="00925209" w:rsidP="00C14E1E">
            <w:pPr>
              <w:widowControl w:val="0"/>
              <w:spacing w:before="60" w:after="60"/>
              <w:jc w:val="both"/>
              <w:rPr>
                <w:rFonts w:ascii="Times New Roman" w:hAnsi="Times New Roman" w:cs="Times New Roman"/>
                <w:bCs/>
                <w:sz w:val="24"/>
                <w:szCs w:val="24"/>
              </w:rPr>
            </w:pPr>
            <w:r w:rsidRPr="00C14E1E">
              <w:rPr>
                <w:rFonts w:ascii="Times New Roman" w:hAnsi="Times New Roman" w:cs="Times New Roman"/>
                <w:bCs/>
                <w:i/>
                <w:sz w:val="24"/>
                <w:szCs w:val="24"/>
              </w:rPr>
              <w:t xml:space="preserve">b) Cơ quan, đơn vị, tổ chức, cá nhân có liên quan đến xây dựng, lập, thẩm định, phân bổ, giao, triển khai, thực hiện kế hoạch đầu tư công trung hạn và hằng năm nguồn ngân sách nhà nước giai đoạn </w:t>
            </w:r>
            <w:r w:rsidRPr="00C14E1E">
              <w:rPr>
                <w:rFonts w:ascii="Times New Roman" w:hAnsi="Times New Roman" w:cs="Times New Roman"/>
                <w:bCs/>
                <w:i/>
                <w:sz w:val="24"/>
                <w:szCs w:val="24"/>
              </w:rPr>
              <w:lastRenderedPageBreak/>
              <w:t>2026 - 2030.</w:t>
            </w:r>
            <w:r w:rsidRPr="00C14E1E">
              <w:rPr>
                <w:rFonts w:ascii="Times New Roman" w:hAnsi="Times New Roman" w:cs="Times New Roman"/>
                <w:bCs/>
                <w:i/>
                <w:sz w:val="24"/>
                <w:szCs w:val="24"/>
                <w:lang w:val="en-GB"/>
              </w:rPr>
              <w:t>”</w:t>
            </w:r>
          </w:p>
        </w:tc>
      </w:tr>
      <w:tr w:rsidR="00A357BB" w:rsidRPr="00BE001A" w14:paraId="3F71E94E" w14:textId="77777777" w:rsidTr="004357AA">
        <w:trPr>
          <w:trHeight w:val="551"/>
        </w:trPr>
        <w:tc>
          <w:tcPr>
            <w:tcW w:w="4111" w:type="dxa"/>
            <w:vMerge/>
          </w:tcPr>
          <w:p w14:paraId="000D9B58" w14:textId="77777777" w:rsidR="00A357BB" w:rsidRPr="004357AA" w:rsidRDefault="00A357BB" w:rsidP="00C14E1E">
            <w:pPr>
              <w:spacing w:before="60" w:after="60"/>
              <w:jc w:val="both"/>
              <w:rPr>
                <w:rFonts w:ascii="Times New Roman" w:eastAsia="Calibri" w:hAnsi="Times New Roman" w:cs="Times New Roman"/>
                <w:sz w:val="24"/>
                <w:szCs w:val="24"/>
                <w:lang w:val="nl-NL"/>
              </w:rPr>
            </w:pPr>
          </w:p>
        </w:tc>
        <w:tc>
          <w:tcPr>
            <w:tcW w:w="5812" w:type="dxa"/>
          </w:tcPr>
          <w:p w14:paraId="6C5B095D" w14:textId="77777777" w:rsidR="008063B3" w:rsidRPr="004357AA" w:rsidRDefault="008063B3"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
                <w:sz w:val="24"/>
                <w:szCs w:val="24"/>
                <w:lang w:val="nl-NL"/>
              </w:rPr>
            </w:pPr>
            <w:r w:rsidRPr="004357AA">
              <w:rPr>
                <w:rFonts w:ascii="Times New Roman" w:eastAsia="Calibri" w:hAnsi="Times New Roman" w:cs="Times New Roman"/>
                <w:b/>
                <w:sz w:val="24"/>
                <w:szCs w:val="24"/>
                <w:lang w:val="nl-NL"/>
              </w:rPr>
              <w:t>Điều 3. Nguyên tắc phân bổ vốn đầu tư công nguồn ngân sách địa phương giai đoạn 2026 - 2030</w:t>
            </w:r>
          </w:p>
          <w:p w14:paraId="1225F879" w14:textId="77777777" w:rsidR="00A357BB" w:rsidRPr="004357AA" w:rsidRDefault="008063B3"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1. Nguyên tắc chung và thứ tự ưu tiên phân bổ vốn đầu tư công nguồn ngân sách địa phương giai đoạn 2026 - 2030.</w:t>
            </w:r>
          </w:p>
          <w:p w14:paraId="6B4D7791" w14:textId="77777777" w:rsidR="004124E6" w:rsidRPr="004357AA" w:rsidRDefault="004124E6"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a) Việc phân bổ vốn đầu tư công nguồn ngân sách địa phương giai đoạn 2026-2030 phải tuân thủ các quy định của Luật Đầu tư công, Luật Ngân sách nhà nước và các văn bản pháp luật có liên quan.</w:t>
            </w:r>
          </w:p>
          <w:p w14:paraId="15F0F642" w14:textId="77777777" w:rsidR="004124E6" w:rsidRPr="004357AA" w:rsidRDefault="004124E6"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b) Bảo đảm quản lý tập trung, thống nhất về mục tiêu, cơ chế, chính sách; thực hiện phân cấp trong quản lý đầu tư theo quy định của pháp luật, tạo quyền chủ động cho các sở, ban, ngành và Ủy ban nhân dân các xã, phường.</w:t>
            </w:r>
          </w:p>
          <w:p w14:paraId="5823F54D" w14:textId="77777777" w:rsidR="004124E6" w:rsidRPr="004357AA" w:rsidRDefault="004124E6"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c) Việc phân bổ vốn đầu tư công nguồn ngân sách địa phương phải phục vụ cho việc thực hiện các mục tiêu, định hướng phát triển của đất nước tại Chiến lược phát triển kinh tế - xã hội 10 năm 2021 - 2030, Quy hoạch tỉnh Lạng Sơn thời kỳ 2021 - 2030, tầm nhìn đến năm 2050, Nghị quyết Đại hội đại biểu Đảng bộ tỉnh Lạng Sơn lần thứ XVIII, kế hoạch phát triển kinh tế - xã hội 5 năm 2026 - 2030, kế hoạch tài chính 05 năm, kế hoạch vay, trả nợ công 05 năm của tỉnh, các quy hoạch theo quy định của Luật Quy hoạch được cấp có thẩm quyền quyết định phê duyệt, bảo đảm mục tiêu phát triển bền vững, hài hòa giữa kinh tế và xã hội.</w:t>
            </w:r>
          </w:p>
          <w:p w14:paraId="76867511" w14:textId="77777777" w:rsidR="004124E6" w:rsidRPr="004357AA" w:rsidRDefault="004124E6"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d) Phù hợp với khả năng cân đối vốn đầu tư từ nguồn ngân sách nhà nước trong kế hoạch tài chính 5 năm và thu hút các nguồn vốn đầu tư của các thành phần kinh tế khác, của từng ngành, lĩnh vực và địa phương để thực hiện các dự án đầu tư cơ sở hạ tầng; bảo đảm các cân đối vĩ mô, an toàn nợ công.</w:t>
            </w:r>
          </w:p>
          <w:p w14:paraId="1F46152C" w14:textId="77777777" w:rsidR="004124E6" w:rsidRPr="004357AA" w:rsidRDefault="004124E6"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 xml:space="preserve">đ) Phân bổ vốn đầu tư tập trung; không phân tán, dàn trải; </w:t>
            </w:r>
            <w:r w:rsidRPr="004357AA">
              <w:rPr>
                <w:rFonts w:ascii="Times New Roman" w:eastAsia="Calibri" w:hAnsi="Times New Roman" w:cs="Times New Roman"/>
                <w:bCs/>
                <w:sz w:val="24"/>
                <w:szCs w:val="24"/>
                <w:lang w:val="nl-NL"/>
              </w:rPr>
              <w:lastRenderedPageBreak/>
              <w:t>bảo đảm hiệu quả sử dụng vốn đầu tư. Chỉ giao kế hoạch vốn đối với các dự án đã đủ thủ tục đầu tư được cấp có thẩm quyền quyết định theo quy định của Luật Đầu tư công và các văn bản pháp luật có liên quan. Thời gian bố trí vốn thực hiện dự án phải bảo đảm theo quy định tại Điều 57 Luật Đầu tư công.</w:t>
            </w:r>
          </w:p>
          <w:p w14:paraId="5EA70689" w14:textId="77777777" w:rsidR="004124E6" w:rsidRPr="004357AA" w:rsidRDefault="004124E6"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e) Tập trung ưu tiên bố trí vốn để thực hiện, đẩy nhanh tiến độ, sớm hoàn thành, phát huy hiệu quả các dự án thuộc các chương trình mục tiêu quốc gia, dự án quan trọng quốc gia, dự án đường bộ cao tốc, dự án đường sắt tốc độ cao, đường sắt đô thị, dự án kết nối, có tác động liên vùng, dự án có ý nghĩa thúc đẩy phát triển kinh tế - xã hội nhanh, bền vững; các chương trình, dự án phát triển khoa học, công nghệ, đổi mới sáng tạo, chuyển đổi số, năng lượng hạt nhân, nguyên tử, vi mạch bán dẫn; chương trình, nhiệm vụ, dự án quốc phòng, an ninh, tư pháp, giáo dục, đào tạo nhân lực chất lượng cao, bảo vệ, chăm sóc sức khỏe nhân dân, bảo vệ môi trường, thích ứng với biến đổi khí hậu, phòng, chống, khắc phục hậu quả thiên tai, sạt lở bờ sông, bờ biển, hạn hán, xâm nhập mặn, nước biển dâng, bảo đảm an ninh năng lượng, an ninh nguồn nước, an ninh lương thực, chuyển đổi xanh.</w:t>
            </w:r>
          </w:p>
          <w:p w14:paraId="48B28F89" w14:textId="77777777" w:rsidR="004124E6" w:rsidRPr="004357AA" w:rsidRDefault="004124E6"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g) Bố trí vốn hợp lý cho các ngành, lĩnh vực do sở, ban, ngành, đơn vị thuộc tỉnh quản lý và cấp xã; bảo đảm tỷ lệ cân đối vốn đầu tư cho giáo dục, đào tạo, khoa học và công nghệ, đổi mới sáng tạo và chuyển đổi số theo Nghị quyết của Quốc hội; tạo động lực cho tăng trưởng kinh tế, đồng thời góp phần thu hẹp dần khoảng cách về trình độ phát triển kinh tế, thu nhập và mức sống của dân cư giữa các vùng, địa phương trong tỉnh.</w:t>
            </w:r>
          </w:p>
          <w:p w14:paraId="0539457A" w14:textId="77777777" w:rsidR="004124E6" w:rsidRPr="004357AA" w:rsidRDefault="004124E6"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 xml:space="preserve">h) Chủ động bố trí các khoản tăng thu, tiết kiệm chi ngân sách để bổ sung nguồn lực đầu tư phát triển của ngân sách nhà nước cho kế hoạch đầu tư công trung hạn giai đoạn 2026 - 2030 theo quy định tại Điều 61 của Luật Ngân </w:t>
            </w:r>
            <w:r w:rsidRPr="004357AA">
              <w:rPr>
                <w:rFonts w:ascii="Times New Roman" w:eastAsia="Calibri" w:hAnsi="Times New Roman" w:cs="Times New Roman"/>
                <w:bCs/>
                <w:sz w:val="24"/>
                <w:szCs w:val="24"/>
                <w:lang w:val="nl-NL"/>
              </w:rPr>
              <w:lastRenderedPageBreak/>
              <w:t>sách nhà nước, ưu tiên bố trí thanh toán nợ đọng xây dựng cơ bản, thu hồi vốn ứng trước, phần còn lại bố trí cho các dự án dở dang và xử lý các vấn đề phát sinh trong quá trình điều hành kế hoạch đầu tư công trung hạn của tỉnh theo quy định.</w:t>
            </w:r>
          </w:p>
          <w:p w14:paraId="012B1079" w14:textId="77777777" w:rsidR="004124E6" w:rsidRPr="004357AA" w:rsidRDefault="004124E6"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i) Bảo đảm công khai, minh bạch, công bằng trong việc phân bổ vốn kế hoạch đầu tư công, góp phần đẩy mạnh cải cách hành chính và tăng cường công tác phòng, chống tham nhũng, thực hành tiết kiệm, chống lãng phí.</w:t>
            </w:r>
          </w:p>
          <w:p w14:paraId="4CF202D9" w14:textId="77777777" w:rsidR="009721D5" w:rsidRPr="004357AA" w:rsidRDefault="004124E6"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k) Thứ tự ưu tiên phân bổ vốn đầu tư công nguồn ngân sách nhà nước giai đoạn 2026 - 2030 được thực hiện như sau:</w:t>
            </w:r>
          </w:p>
          <w:p w14:paraId="1CE8046E" w14:textId="77777777" w:rsidR="009721D5" w:rsidRPr="004357AA" w:rsidRDefault="009721D5"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 Dự án đầu tư công đặc biệt, dự án đầu tư công khẩn cấp;</w:t>
            </w:r>
          </w:p>
          <w:p w14:paraId="0BFEBC9E" w14:textId="77777777" w:rsidR="009721D5" w:rsidRPr="004357AA" w:rsidRDefault="009721D5"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 Chương trình mục tiêu quốc gia, dự án quan trọng quốc gia;</w:t>
            </w:r>
          </w:p>
          <w:p w14:paraId="4696A5E8" w14:textId="77777777" w:rsidR="009721D5" w:rsidRPr="004357AA" w:rsidRDefault="009721D5"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 Hoàn trả vốn ứng trước;</w:t>
            </w:r>
          </w:p>
          <w:p w14:paraId="1C678B14" w14:textId="77777777" w:rsidR="009721D5" w:rsidRPr="004357AA" w:rsidRDefault="009721D5"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 Dự án đã hoàn thành và bàn giao đưa vào sử dụng nhưng chưa bố trí đủ vốn;</w:t>
            </w:r>
          </w:p>
          <w:p w14:paraId="4B4F30EB" w14:textId="77777777" w:rsidR="009721D5" w:rsidRPr="004357AA" w:rsidRDefault="009721D5"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 Chương trình, dự án sử dụng vốn ODA, vốn vay ưu đãi nước ngoài, bao gồm cả vốn đối ứng;</w:t>
            </w:r>
          </w:p>
          <w:p w14:paraId="3814791E" w14:textId="77777777" w:rsidR="009721D5" w:rsidRPr="004357AA" w:rsidRDefault="009721D5"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 Đầu tư của Nhà nước tham gia thực hiện dự án PPP theo quy định của pháp luật về đầu tư theo phương thức đối tác công tư; bồi thường, chấm dứt hợp đồng dự án PPP trước hạn được cấp có thẩm quyền quyết định, chi trả phần giảm doanh thu các dự án PPP thuộc trách nhiệm của Nhà nước, thanh toán theo hợp đồng dự án BT bằng tiền;</w:t>
            </w:r>
          </w:p>
          <w:p w14:paraId="04775443" w14:textId="77777777" w:rsidR="009721D5" w:rsidRPr="004357AA" w:rsidRDefault="009721D5"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 Dự án chuyển tiếp hoàn thành trong kỳ kế hoạch;</w:t>
            </w:r>
          </w:p>
          <w:p w14:paraId="70E83214" w14:textId="77777777" w:rsidR="009721D5" w:rsidRPr="004357AA" w:rsidRDefault="009721D5"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 Dự án chuyển tiếp thực hiện theo tiến độ được phê duyệt;</w:t>
            </w:r>
          </w:p>
          <w:p w14:paraId="16D61BC2" w14:textId="77777777" w:rsidR="009721D5" w:rsidRPr="004357AA" w:rsidRDefault="009721D5"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 xml:space="preserve">- Nhiệm vụ quy hoạch, nhiệm vụ chuẩn bị đầu tư (vốn bố trí cho nhiệm vụ chuẩn bị đầu tư dự án dự kiến khởi công mới trong giai đoạn 2026 - 2030, vốn bố trí cho nhiệm vụ </w:t>
            </w:r>
            <w:r w:rsidRPr="004357AA">
              <w:rPr>
                <w:rFonts w:ascii="Times New Roman" w:eastAsia="Calibri" w:hAnsi="Times New Roman" w:cs="Times New Roman"/>
                <w:bCs/>
                <w:sz w:val="24"/>
                <w:szCs w:val="24"/>
                <w:lang w:val="nl-NL"/>
              </w:rPr>
              <w:lastRenderedPageBreak/>
              <w:t>chuẩn bị đầu tư dự án dự kiến khởi công mới trong giai đoạn 2031 - 2035);</w:t>
            </w:r>
          </w:p>
          <w:p w14:paraId="2EF3A9EF" w14:textId="77777777" w:rsidR="009721D5" w:rsidRPr="004357AA" w:rsidRDefault="009721D5"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 Thanh toán nợ đọng xây dựng cơ bản phát sinh trước ngày 01 tháng 01 năm 2015 (nếu có);</w:t>
            </w:r>
          </w:p>
          <w:p w14:paraId="54CB021A" w14:textId="77777777" w:rsidR="009721D5" w:rsidRPr="004357AA" w:rsidRDefault="009721D5"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 Cấp bù lãi suất tín dụng ưu đãi, phí quản lý; cấp vốn điều lệ cho các ngân hàng chính sách, quỹ tài chính nhà nước ngoài ngân sách; hỗ trợ đầu tư cho các đối tượng khác theo quyết định của Chính phủ hoặc quyết định của Thủ tướng Chính phủ;</w:t>
            </w:r>
          </w:p>
          <w:p w14:paraId="0B1C75D7" w14:textId="77777777" w:rsidR="009721D5" w:rsidRPr="004357AA" w:rsidRDefault="009721D5"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 Bố trí vốn ngân sách địa phương để thực hiện các chính sách tín dụng ưu đãi thông qua Ngân hàng Chính sách xã hội theo nghị quyết của Hội đồng nhân dân cấp tỉnh;</w:t>
            </w:r>
          </w:p>
          <w:p w14:paraId="17F138B4" w14:textId="77777777" w:rsidR="009721D5" w:rsidRPr="004357AA" w:rsidRDefault="009721D5"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 Dự án khởi công mới đáp ứng yêu cầu quy định của Luật Đầu tư công.</w:t>
            </w:r>
          </w:p>
          <w:p w14:paraId="47E1A2A0" w14:textId="2E8AA539" w:rsidR="008063B3" w:rsidRPr="004357AA" w:rsidRDefault="008063B3"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2. Nguyên tắc phân bổ vốn đầu tư công nguồn cân đối ngân sách địa phương giai đoạn 2026 - 2030 cho cấp xã.</w:t>
            </w:r>
          </w:p>
          <w:p w14:paraId="3A1ED173" w14:textId="77777777" w:rsidR="00711EE4" w:rsidRPr="004357AA" w:rsidRDefault="00711EE4"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 xml:space="preserve">a) Vốn đầu tư công được bố trí cho nhiệm vụ, chương trình, dự án thuộc nhiệm vụ chi đầu tư công của ngân sách địa phương theo quy định của pháp luật về ngân sách nhà nước và đầu tư công; </w:t>
            </w:r>
          </w:p>
          <w:p w14:paraId="4B5606F6" w14:textId="77777777" w:rsidR="00711EE4" w:rsidRPr="004357AA" w:rsidRDefault="00711EE4"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a) Bảo đảm tương quan hợp lý giữa việc tạo động lực phát triển kinh tế các xã, phường có số thu ngân sách lớn với việc ưu tiên hỗ trợ vùng biên giới, vùng khó khăn và đặc biệt khó khăn nhằm thu hẹp khoảng cách trình độ phát triển kinh tế, thu nhập và mức sống của dân cư giữa các xã, phường; ưu tiên bổ sung vốn cho các đô thị cần nâng cấp, xã an toàn khu.</w:t>
            </w:r>
          </w:p>
          <w:p w14:paraId="3E55F192" w14:textId="77777777" w:rsidR="00711EE4" w:rsidRPr="004357AA" w:rsidRDefault="00711EE4"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b) Ưu tiên bố trí vốn ngân sách tỉnh phân cấp cho cấp xã để lồng ghép thực hiện các chương trình mục tiêu quốc gia trên địa bàn xã, phường; thực hiện các chương trình, dự án đầu tư công có tác động lớn đến phát triển kinh tế - xã hội xã, phường.</w:t>
            </w:r>
          </w:p>
          <w:p w14:paraId="250D39CA" w14:textId="02213E97" w:rsidR="00711EE4" w:rsidRPr="004357AA" w:rsidRDefault="00711EE4"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lastRenderedPageBreak/>
              <w:t>c) Phân bổ kế hoạch vốn ngân sách tỉnh phân cấp cho cấp xã hằng năm phải phù hợp với kế hoạch vốn đầu tư công trung hạn được cấp có thẩm quyền phê duyệt.</w:t>
            </w:r>
          </w:p>
        </w:tc>
        <w:tc>
          <w:tcPr>
            <w:tcW w:w="5137" w:type="dxa"/>
            <w:vAlign w:val="center"/>
          </w:tcPr>
          <w:p w14:paraId="50B6A911" w14:textId="77777777" w:rsidR="00A357BB" w:rsidRPr="004357AA" w:rsidRDefault="00A357BB" w:rsidP="00C14E1E">
            <w:pPr>
              <w:widowControl w:val="0"/>
              <w:spacing w:before="60" w:after="60"/>
              <w:jc w:val="both"/>
              <w:rPr>
                <w:rFonts w:ascii="Times New Roman" w:eastAsia="Times New Roman" w:hAnsi="Times New Roman" w:cs="Times New Roman"/>
                <w:bCs/>
                <w:sz w:val="24"/>
                <w:szCs w:val="24"/>
                <w:lang w:val="nl-NL" w:eastAsia="vi-VN"/>
              </w:rPr>
            </w:pPr>
            <w:r w:rsidRPr="004357AA">
              <w:rPr>
                <w:rFonts w:ascii="Times New Roman" w:eastAsia="Times New Roman" w:hAnsi="Times New Roman" w:cs="Times New Roman"/>
                <w:bCs/>
                <w:sz w:val="24"/>
                <w:szCs w:val="24"/>
                <w:lang w:val="nl-NL" w:eastAsia="vi-VN"/>
              </w:rPr>
              <w:lastRenderedPageBreak/>
              <w:t xml:space="preserve">Căn cứ </w:t>
            </w:r>
            <w:r w:rsidR="009B5733" w:rsidRPr="004357AA">
              <w:rPr>
                <w:rFonts w:ascii="Times New Roman" w:eastAsia="Times New Roman" w:hAnsi="Times New Roman" w:cs="Times New Roman"/>
                <w:bCs/>
                <w:sz w:val="24"/>
                <w:szCs w:val="24"/>
                <w:lang w:val="nl-NL" w:eastAsia="vi-VN"/>
              </w:rPr>
              <w:t>Điề</w:t>
            </w:r>
            <w:r w:rsidR="00DC3D6F" w:rsidRPr="004357AA">
              <w:rPr>
                <w:rFonts w:ascii="Times New Roman" w:eastAsia="Times New Roman" w:hAnsi="Times New Roman" w:cs="Times New Roman"/>
                <w:bCs/>
                <w:sz w:val="24"/>
                <w:szCs w:val="24"/>
                <w:lang w:val="nl-NL" w:eastAsia="vi-VN"/>
              </w:rPr>
              <w:t>u</w:t>
            </w:r>
            <w:r w:rsidR="009B5733" w:rsidRPr="004357AA">
              <w:rPr>
                <w:rFonts w:ascii="Times New Roman" w:eastAsia="Times New Roman" w:hAnsi="Times New Roman" w:cs="Times New Roman"/>
                <w:bCs/>
                <w:sz w:val="24"/>
                <w:szCs w:val="24"/>
                <w:lang w:val="nl-NL" w:eastAsia="vi-VN"/>
              </w:rPr>
              <w:t xml:space="preserve"> 3 </w:t>
            </w:r>
            <w:r w:rsidR="009B5733" w:rsidRPr="004357AA">
              <w:rPr>
                <w:rFonts w:ascii="Times New Roman" w:eastAsia="Times New Roman" w:hAnsi="Times New Roman" w:cs="Times New Roman"/>
                <w:bCs/>
                <w:sz w:val="24"/>
                <w:szCs w:val="24"/>
                <w:lang w:eastAsia="vi-VN"/>
              </w:rPr>
              <w:t>Nghị quyết số 70/2025/UBTVQH15 ngày 07 tháng 02 năm 2025</w:t>
            </w:r>
            <w:r w:rsidR="00DC3D6F" w:rsidRPr="004357AA">
              <w:rPr>
                <w:rFonts w:ascii="Times New Roman" w:eastAsia="Times New Roman" w:hAnsi="Times New Roman" w:cs="Times New Roman"/>
                <w:bCs/>
                <w:sz w:val="24"/>
                <w:szCs w:val="24"/>
                <w:lang w:eastAsia="vi-VN"/>
              </w:rPr>
              <w:t xml:space="preserve"> </w:t>
            </w:r>
            <w:r w:rsidRPr="004357AA">
              <w:rPr>
                <w:rFonts w:ascii="Times New Roman" w:eastAsia="Times New Roman" w:hAnsi="Times New Roman" w:cs="Times New Roman"/>
                <w:bCs/>
                <w:sz w:val="24"/>
                <w:szCs w:val="24"/>
                <w:lang w:val="nl-NL" w:eastAsia="vi-VN"/>
              </w:rPr>
              <w:t>để cụ thể hóa phù hợp với điều kiện thực tế tại địa phương</w:t>
            </w:r>
            <w:r w:rsidR="00DC3D6F" w:rsidRPr="004357AA">
              <w:rPr>
                <w:rFonts w:ascii="Times New Roman" w:eastAsia="Times New Roman" w:hAnsi="Times New Roman" w:cs="Times New Roman"/>
                <w:bCs/>
                <w:sz w:val="24"/>
                <w:szCs w:val="24"/>
                <w:lang w:val="nl-NL" w:eastAsia="vi-VN"/>
              </w:rPr>
              <w:t>:</w:t>
            </w:r>
          </w:p>
          <w:p w14:paraId="02EE7467"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nl-NL" w:eastAsia="vi-VN"/>
              </w:rPr>
              <w:t>“</w:t>
            </w:r>
            <w:r w:rsidRPr="00C14E1E">
              <w:rPr>
                <w:rFonts w:ascii="Times New Roman" w:eastAsia="Times New Roman" w:hAnsi="Times New Roman" w:cs="Times New Roman"/>
                <w:bCs/>
                <w:i/>
                <w:sz w:val="24"/>
                <w:szCs w:val="24"/>
                <w:lang w:val="vi-VN" w:eastAsia="vi-VN"/>
              </w:rPr>
              <w:t>1. Việc phân bổ vốn đầu tư công nguồn ngân sách nhà nước giai đoạn 2026 - 2030 phải tuân thủ quy định của Luật Đầu tư công, Luật Ngân sách nhà nước và các văn bản pháp luật có liên quan.</w:t>
            </w:r>
          </w:p>
          <w:p w14:paraId="10F45116"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2. Bảo đảm quản lý tập trung, thống nhất về mục tiêu, cơ chế, chính sách; phát huy vai trò đầu tư công dẫn dắt đầu tư tư nhân để thu hút, huy động mọi nguồn lực xã hội cho đầu tư phát triển; tăng cường phân cấp, phân quyền, rà soát cắt giảm tối đa thủ tục hành chính trong quản lý đầu tư theo quy định của pháp luật, tạo quyền chủ động cho các Bộ, cơ quan trung ương và các cấp chính quyền địa phương, xóa bỏ quan liêu bao cấp, xóa bỏ cơ chế “xin - cho”.</w:t>
            </w:r>
          </w:p>
          <w:p w14:paraId="07D77F48"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 xml:space="preserve">3. Việc phân bổ vốn đầu tư công nguồn ngân sách nhà nước phải phục vụ cho việc thực hiện các mục tiêu, định hướng phát triển của đất nước tại Chiến lược phát triển kinh tế - xã hội 10 năm 2021 - 2030, các nghị quyết, kết luận của Ban Chấp hành Trung ương Đảng, Bộ Chính trị, Kế hoạch phát triển kinh tế - xã hội 05 năm 2026 - 2030 của quốc gia, các ngành, lĩnh vực, địa phương, kế hoạch tài chính 05 năm quốc gia, kế hoạch vay, trả nợ công 05 năm giai đoạn 2026 - 2030, các quy hoạch được cấp có thẩm quyền quyết định hoặc phê duyệt, bảo đảm mục tiêu phát triển nhanh, bền </w:t>
            </w:r>
            <w:r w:rsidRPr="00C14E1E">
              <w:rPr>
                <w:rFonts w:ascii="Times New Roman" w:eastAsia="Times New Roman" w:hAnsi="Times New Roman" w:cs="Times New Roman"/>
                <w:bCs/>
                <w:i/>
                <w:sz w:val="24"/>
                <w:szCs w:val="24"/>
                <w:lang w:val="vi-VN" w:eastAsia="vi-VN"/>
              </w:rPr>
              <w:lastRenderedPageBreak/>
              <w:t>vững, hài hòa giữa kinh tế và xã hội.</w:t>
            </w:r>
          </w:p>
          <w:p w14:paraId="713A9FCE"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4. Phù hợp với khả năng cân đối vốn đầu tư từ ngân sách nhà nước trong kế hoạch tài chính 05 năm giai đoạn 2026 - 2030, bảo đảm các chỉ tiêu cân đối vĩ mô, an toàn nợ công. Đẩy mạnh cơ cấu lại đầu tư công, tính toán hợp lý cơ cấu nguồn lực ngân sách trung ương và địa phương, bảo đảm ngân sách trung ương giữ vai trò chủ đạo; tăng cường huy động các nguồn vốn ngoài ngân sách nhà nước, đẩy mạnh việc thu hút các nguồn vốn xã hội để thực hiện các dự án đầu tư cơ sở hạ tầng.</w:t>
            </w:r>
          </w:p>
          <w:p w14:paraId="711199F1"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5. Phân bổ vốn tập trung, không phân tán, dàn trải; bảo đảm hiệu quả sử dụng vốn. Nâng cao chất lượng công tác chuẩn bị đầu tư. Chỉ bố trí vốn cho các chương trình, nhiệm vụ, dự án đủ điều kiện theo quy định của Luật Đầu tư công và các văn bản pháp luật có liên quan. Thời gian bố trí vốn thực hiện dự án phải bảo đảm theo quy định tại Điều 57 của Luật Đầu tư công.</w:t>
            </w:r>
          </w:p>
          <w:p w14:paraId="4B4BB959"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 xml:space="preserve">6. Tập trung ưu tiên bố trí vốn để thực hiện, đẩy nhanh tiến độ, sớm hoàn thành, phát huy hiệu quả các dự án thuộc các chương trình mục tiêu quốc gia, dự án quan trọng quốc gia, dự án đường bộ cao tốc, dự án đường sắt tốc độ cao, đường sắt đô thị, dự án kết nối, có tác động liên vùng, dự án có ý nghĩa thúc đẩy phát triển kinh tế - xã hội nhanh, bền vững; các chương trình, dự án phát triển khoa học, công nghệ, đổi mới sáng tạo, chuyển đổi số, năng lượng hạt nhân, nguyên tử, vi mạch bán dẫn; chương trình, nhiệm vụ, dự án quốc phòng, an ninh, tư pháp, giáo dục, đào tạo nhân lực chất lượng cao, bảo vệ, chăm sóc sức khỏe nhân dân, bảo vệ môi trường, thích ứng với biến đổi khí hậu, phòng, chống, khắc phục hậu quả thiên tai, sạt lở </w:t>
            </w:r>
            <w:r w:rsidRPr="00C14E1E">
              <w:rPr>
                <w:rFonts w:ascii="Times New Roman" w:eastAsia="Times New Roman" w:hAnsi="Times New Roman" w:cs="Times New Roman"/>
                <w:bCs/>
                <w:i/>
                <w:sz w:val="24"/>
                <w:szCs w:val="24"/>
                <w:lang w:val="vi-VN" w:eastAsia="vi-VN"/>
              </w:rPr>
              <w:lastRenderedPageBreak/>
              <w:t>bờ sông, bờ biển, hạn hán, xâm nhập mặn, nước biển dâng, bảo đảm an ninh năng lượng, an ninh nguồn nước, an ninh lương thực, chuyển đổi xanh.</w:t>
            </w:r>
          </w:p>
          <w:p w14:paraId="33125C7B"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7. Ưu tiên phân bổ vốn cho các vùng miền núi, biên giới, hải đảo, vùng đồng bào dân tộc thiểu số, vùng khó khăn, đặc biệt khó khăn, vùng thường xuyên bị ảnh hưởng bởi thiên tai, góp phần thu hẹp khoảng cách về trình độ phát triển, thu nhập và mức sống của dân cư giữa các vùng, miền trong cả nước.</w:t>
            </w:r>
          </w:p>
          <w:p w14:paraId="6272A9A8"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8. Thứ tự ưu tiên phân bổ vốn đầu tư công nguồn ngân sách nhà nước giai đoạn 2026 - 2030 như sau:</w:t>
            </w:r>
          </w:p>
          <w:p w14:paraId="63E37D1A" w14:textId="1C18FF53"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a) Dự án đầu tư công đặc biệt, dự án đầu tư công khẩn cấp;</w:t>
            </w:r>
          </w:p>
          <w:p w14:paraId="29433DF1"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b) Chương trình mục tiêu quốc gia, dự án quan trọng quốc gia;</w:t>
            </w:r>
          </w:p>
          <w:p w14:paraId="13AC04D2"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c) Hoàn trả vốn ứng trước;</w:t>
            </w:r>
          </w:p>
          <w:p w14:paraId="49419D97"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d) Dự án đã hoàn thành và bàn giao đưa vào sử dụng nhưng chưa bố trí đủ vốn;</w:t>
            </w:r>
          </w:p>
          <w:p w14:paraId="7547979F"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đ) Chương trình, dự án sử dụng vốn ODA, vốn vay ưu đãi nước ngoài, bao gồm cả vốn đối ứng;</w:t>
            </w:r>
          </w:p>
          <w:p w14:paraId="5690B2EF"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e) Đầu tư của Nhà nước tham gia thực hiện dự án PPP theo quy định của pháp luật về đầu tư theo phương thức đối tác công tư; bồi thường, chấm dứt hợp đồng dự án PPP trước hạn được cấp có thẩm quyền quyết định, chi trả phần giảm doanh thu các dự án PPP thuộc trách nhiệm của Nhà nước, thanh toán theo hợp đồng dự án BT bằng tiền;</w:t>
            </w:r>
          </w:p>
          <w:p w14:paraId="082D648D"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g) Dự án chuyển tiếp hoàn thành trong kỳ kế hoạch;</w:t>
            </w:r>
          </w:p>
          <w:p w14:paraId="50773403"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lastRenderedPageBreak/>
              <w:t>h) Dự án chuyển tiếp thực hiện theo tiến độ được phê duyệt;</w:t>
            </w:r>
          </w:p>
          <w:p w14:paraId="0813392D"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i) Nhiệm vụ quy hoạch, nhiệm vụ chuẩn bị đầu tư (vốn bố trí cho nhiệm vụ chuẩn bị đầu tư dự án dự kiến khởi công mới trong giai đoạn 2026 - 2030, vốn bố trí cho nhiệm vụ chuẩn bị đầu tư dự án dự kiến khởi công mới trong giai đoạn 2031 - 2035);</w:t>
            </w:r>
          </w:p>
          <w:p w14:paraId="64851DE8"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k) Thanh toán nợ đọng xây dựng cơ bản phát sinh trước ngày 01 tháng 01 năm 2015 (nếu có);</w:t>
            </w:r>
          </w:p>
          <w:p w14:paraId="61D92DB6"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l) Cấp bù lãi suất tín dụng ưu đãi, phí quản lý; cấp vốn điều lệ cho các ngân hàng chính sách, quỹ tài chính nhà nước ngoài ngân sách; hỗ trợ đầu tư cho các đối tượng khác theo quyết định của Chính phủ hoặc quyết định của Thủ tướng Chính phủ;</w:t>
            </w:r>
          </w:p>
          <w:p w14:paraId="63BB968D"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m) Bố trí vốn ngân sách địa phương để thực hiện các chính sách tín dụng ưu đãi thông qua Ngân hàng Chính sách xã hội theo nghị quyết của Hội đồng nhân dân cấp tỉnh;</w:t>
            </w:r>
          </w:p>
          <w:p w14:paraId="2E8B8D98" w14:textId="77777777" w:rsidR="009721D5" w:rsidRPr="00C14E1E" w:rsidRDefault="009721D5"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n) Dự án khởi công mới đáp ứng yêu cầu quy định của Luật Đầu tư công.</w:t>
            </w:r>
          </w:p>
          <w:p w14:paraId="076EC46B" w14:textId="6C2E765F" w:rsidR="009721D5" w:rsidRPr="004357AA" w:rsidRDefault="009721D5" w:rsidP="00C14E1E">
            <w:pPr>
              <w:widowControl w:val="0"/>
              <w:spacing w:before="60" w:after="60"/>
              <w:jc w:val="both"/>
              <w:rPr>
                <w:rFonts w:ascii="Times New Roman" w:eastAsia="Times New Roman" w:hAnsi="Times New Roman" w:cs="Times New Roman"/>
                <w:bCs/>
                <w:sz w:val="24"/>
                <w:szCs w:val="24"/>
                <w:lang w:eastAsia="vi-VN"/>
              </w:rPr>
            </w:pPr>
            <w:r w:rsidRPr="00C14E1E">
              <w:rPr>
                <w:rFonts w:ascii="Times New Roman" w:eastAsia="Times New Roman" w:hAnsi="Times New Roman" w:cs="Times New Roman"/>
                <w:bCs/>
                <w:i/>
                <w:sz w:val="24"/>
                <w:szCs w:val="24"/>
                <w:lang w:val="vi-VN" w:eastAsia="vi-VN"/>
              </w:rPr>
              <w:t>9. Bảo đảm công khai, minh bạch, công bằng trong việc phân bổ vốn kế hoạch đầu tư công, góp phần đẩy mạnh cải cách hành chính và tăng cường công tác phòng, chống tham nhũng, thực hành tiết kiệm, chống lãng phí.</w:t>
            </w:r>
            <w:r w:rsidRPr="00C14E1E">
              <w:rPr>
                <w:rFonts w:ascii="Times New Roman" w:eastAsia="Times New Roman" w:hAnsi="Times New Roman" w:cs="Times New Roman"/>
                <w:bCs/>
                <w:i/>
                <w:sz w:val="24"/>
                <w:szCs w:val="24"/>
                <w:lang w:eastAsia="vi-VN"/>
              </w:rPr>
              <w:t>”</w:t>
            </w:r>
          </w:p>
        </w:tc>
      </w:tr>
      <w:tr w:rsidR="00A357BB" w:rsidRPr="00BE001A" w14:paraId="1532DCF0" w14:textId="77777777" w:rsidTr="004357AA">
        <w:trPr>
          <w:trHeight w:val="551"/>
        </w:trPr>
        <w:tc>
          <w:tcPr>
            <w:tcW w:w="4111" w:type="dxa"/>
            <w:vMerge/>
          </w:tcPr>
          <w:p w14:paraId="649E41AC" w14:textId="77777777" w:rsidR="00A357BB" w:rsidRPr="004357AA" w:rsidRDefault="00A357BB" w:rsidP="00C14E1E">
            <w:pPr>
              <w:spacing w:before="60" w:after="60"/>
              <w:jc w:val="both"/>
              <w:rPr>
                <w:rFonts w:ascii="Times New Roman" w:eastAsia="Calibri" w:hAnsi="Times New Roman" w:cs="Times New Roman"/>
                <w:sz w:val="24"/>
                <w:szCs w:val="24"/>
                <w:lang w:val="nl-NL"/>
              </w:rPr>
            </w:pPr>
          </w:p>
        </w:tc>
        <w:tc>
          <w:tcPr>
            <w:tcW w:w="5812" w:type="dxa"/>
          </w:tcPr>
          <w:p w14:paraId="0ACEDC52" w14:textId="77777777" w:rsidR="0054016D" w:rsidRPr="004357AA" w:rsidRDefault="0054016D" w:rsidP="00C14E1E">
            <w:pPr>
              <w:autoSpaceDE w:val="0"/>
              <w:autoSpaceDN w:val="0"/>
              <w:spacing w:before="60" w:after="60"/>
              <w:jc w:val="both"/>
              <w:rPr>
                <w:rFonts w:ascii="Times New Roman" w:hAnsi="Times New Roman" w:cs="Times New Roman"/>
                <w:b/>
                <w:sz w:val="24"/>
                <w:szCs w:val="24"/>
              </w:rPr>
            </w:pPr>
            <w:r w:rsidRPr="004357AA">
              <w:rPr>
                <w:rFonts w:ascii="Times New Roman" w:hAnsi="Times New Roman" w:cs="Times New Roman"/>
                <w:b/>
                <w:sz w:val="24"/>
                <w:szCs w:val="24"/>
              </w:rPr>
              <w:t xml:space="preserve">Điều 4. Định mức phân bổ vốn đầu tư công </w:t>
            </w:r>
            <w:r w:rsidRPr="004357AA">
              <w:rPr>
                <w:rFonts w:ascii="Times New Roman" w:hAnsi="Times New Roman" w:cs="Times New Roman"/>
                <w:b/>
                <w:bCs/>
                <w:sz w:val="24"/>
                <w:szCs w:val="24"/>
                <w:lang w:eastAsia="vi-VN"/>
              </w:rPr>
              <w:t xml:space="preserve">nguồn ngân sách địa phương </w:t>
            </w:r>
            <w:r w:rsidRPr="004357AA">
              <w:rPr>
                <w:rFonts w:ascii="Times New Roman" w:hAnsi="Times New Roman" w:cs="Times New Roman"/>
                <w:b/>
                <w:sz w:val="24"/>
                <w:szCs w:val="24"/>
              </w:rPr>
              <w:t>giai đoạn 2026 - 2030</w:t>
            </w:r>
          </w:p>
          <w:p w14:paraId="3CE6DBDA" w14:textId="77777777" w:rsidR="0054016D" w:rsidRPr="004357AA" w:rsidRDefault="0054016D" w:rsidP="00C14E1E">
            <w:pPr>
              <w:tabs>
                <w:tab w:val="left" w:pos="2054"/>
              </w:tabs>
              <w:spacing w:before="60" w:after="60"/>
              <w:jc w:val="both"/>
              <w:rPr>
                <w:rFonts w:ascii="Times New Roman" w:hAnsi="Times New Roman" w:cs="Times New Roman"/>
                <w:sz w:val="24"/>
                <w:szCs w:val="24"/>
                <w:lang w:eastAsia="vi-VN"/>
              </w:rPr>
            </w:pPr>
            <w:r w:rsidRPr="004357AA">
              <w:rPr>
                <w:rFonts w:ascii="Times New Roman" w:hAnsi="Times New Roman" w:cs="Times New Roman"/>
                <w:bCs/>
                <w:sz w:val="24"/>
                <w:szCs w:val="24"/>
                <w:lang w:eastAsia="vi-VN"/>
              </w:rPr>
              <w:t xml:space="preserve">1. Nguồn </w:t>
            </w:r>
            <w:proofErr w:type="gramStart"/>
            <w:r w:rsidRPr="004357AA">
              <w:rPr>
                <w:rFonts w:ascii="Times New Roman" w:hAnsi="Times New Roman" w:cs="Times New Roman"/>
                <w:bCs/>
                <w:sz w:val="24"/>
                <w:szCs w:val="24"/>
                <w:lang w:eastAsia="vi-VN"/>
              </w:rPr>
              <w:t>cân</w:t>
            </w:r>
            <w:proofErr w:type="gramEnd"/>
            <w:r w:rsidRPr="004357AA">
              <w:rPr>
                <w:rFonts w:ascii="Times New Roman" w:hAnsi="Times New Roman" w:cs="Times New Roman"/>
                <w:bCs/>
                <w:sz w:val="24"/>
                <w:szCs w:val="24"/>
                <w:lang w:eastAsia="vi-VN"/>
              </w:rPr>
              <w:t xml:space="preserve"> đối ngân sách địa phương </w:t>
            </w:r>
            <w:r w:rsidRPr="004357AA">
              <w:rPr>
                <w:rFonts w:ascii="Times New Roman" w:eastAsia="Times New Roman" w:hAnsi="Times New Roman" w:cs="Times New Roman"/>
                <w:sz w:val="24"/>
                <w:szCs w:val="24"/>
                <w:lang w:val="nl-NL"/>
              </w:rPr>
              <w:t>(không bao gồm số thu tiền sử dụng đất, xổ số kiến thiết, bội chi ngân sách địa phương).</w:t>
            </w:r>
          </w:p>
          <w:p w14:paraId="7F8D1E85" w14:textId="77777777" w:rsidR="0054016D" w:rsidRPr="004357AA" w:rsidRDefault="0054016D" w:rsidP="00C14E1E">
            <w:pPr>
              <w:tabs>
                <w:tab w:val="left" w:pos="2054"/>
              </w:tabs>
              <w:spacing w:before="60" w:after="60"/>
              <w:jc w:val="both"/>
              <w:rPr>
                <w:rFonts w:ascii="Times New Roman" w:hAnsi="Times New Roman" w:cs="Times New Roman"/>
                <w:sz w:val="24"/>
                <w:szCs w:val="24"/>
                <w:lang w:eastAsia="vi-VN"/>
              </w:rPr>
            </w:pPr>
            <w:r w:rsidRPr="004357AA">
              <w:rPr>
                <w:rFonts w:ascii="Times New Roman" w:hAnsi="Times New Roman" w:cs="Times New Roman"/>
                <w:sz w:val="24"/>
                <w:szCs w:val="24"/>
                <w:lang w:eastAsia="vi-VN"/>
              </w:rPr>
              <w:t xml:space="preserve">Trên cơ sở kế hoạch vốn đầu tư công nguồn cân đối ngân sách địa phương theo tiêu chí, định mức được Thủ tướng Chính phủ giao, sau khi </w:t>
            </w:r>
            <w:r w:rsidRPr="004357AA">
              <w:rPr>
                <w:rFonts w:ascii="Times New Roman" w:eastAsia="Times New Roman" w:hAnsi="Times New Roman" w:cs="Times New Roman"/>
                <w:sz w:val="24"/>
                <w:szCs w:val="24"/>
                <w:highlight w:val="white"/>
              </w:rPr>
              <w:t>bố trí vốn thực hiện các nhiệm vụ, dự án mà tỉnh đã cam kết</w:t>
            </w:r>
            <w:r w:rsidRPr="004357AA">
              <w:rPr>
                <w:rFonts w:ascii="Times New Roman" w:eastAsia="Times New Roman" w:hAnsi="Times New Roman" w:cs="Times New Roman"/>
                <w:sz w:val="24"/>
                <w:szCs w:val="24"/>
              </w:rPr>
              <w:t xml:space="preserve"> (như: T</w:t>
            </w:r>
            <w:r w:rsidRPr="004357AA">
              <w:rPr>
                <w:rFonts w:ascii="Times New Roman" w:hAnsi="Times New Roman" w:cs="Times New Roman"/>
                <w:sz w:val="24"/>
                <w:szCs w:val="24"/>
                <w:lang w:eastAsia="vi-VN"/>
              </w:rPr>
              <w:t xml:space="preserve">hanh toán các khoản do tỉnh đã cam kết với Trung ương </w:t>
            </w:r>
            <w:r w:rsidRPr="004357AA">
              <w:rPr>
                <w:rFonts w:ascii="Times New Roman" w:eastAsia="Times New Roman" w:hAnsi="Times New Roman" w:cs="Times New Roman"/>
                <w:sz w:val="24"/>
                <w:szCs w:val="24"/>
                <w:highlight w:val="white"/>
                <w:lang w:val="nl-NL"/>
              </w:rPr>
              <w:t xml:space="preserve">bố trí vốn thực hiện, </w:t>
            </w:r>
            <w:r w:rsidRPr="004357AA">
              <w:rPr>
                <w:rFonts w:ascii="Times New Roman" w:hAnsi="Times New Roman" w:cs="Times New Roman"/>
                <w:sz w:val="24"/>
                <w:szCs w:val="24"/>
                <w:lang w:eastAsia="vi-VN"/>
              </w:rPr>
              <w:t xml:space="preserve">đối ứng dự án ODA đã ký hiệp định, trả nợ gốc lãi vay, vay để bù đắp bội chi (bội chi ngân sách địa phương); hỗ trợ một số đề án, chính sách khuyến khích, ưu đãi đầu tư của tỉnh (như: Đề án giao thông nông thôn, Chính sách đặc thù khuyến khích đầu tư vào nông nghiệp, nông thôn; chính sách hỗ trợ đầu tư khác); bố trí thanh toán nợ khối lượng giai đoạn 2026-2030…): </w:t>
            </w:r>
            <w:r w:rsidRPr="004357AA">
              <w:rPr>
                <w:rFonts w:ascii="Times New Roman" w:eastAsia="Times New Roman" w:hAnsi="Times New Roman" w:cs="Times New Roman"/>
                <w:sz w:val="24"/>
                <w:szCs w:val="24"/>
                <w:lang w:eastAsia="vi-VN"/>
              </w:rPr>
              <w:t xml:space="preserve">dành tối đa 30% tổng vốn cân đối ngân sách địa phương cho cấp xã để phân bổ cho các ngành, lĩnh vực, chương trình dự án theo quy định pháp luật, nguyên tắc, thứ tự ưu tiên quy định tại Điều 3 Nghị quyết này, trong đó bố trí tối thiểu 30% tổng số vốn được phân bổ để hỗ trợ xi măng làm đường giao thông nông thôn. Phần còn lại do cấp tỉnh quản lý, phân bổ cho các ngành lĩnh vực, chương trình, dự </w:t>
            </w:r>
            <w:proofErr w:type="gramStart"/>
            <w:r w:rsidRPr="004357AA">
              <w:rPr>
                <w:rFonts w:ascii="Times New Roman" w:eastAsia="Times New Roman" w:hAnsi="Times New Roman" w:cs="Times New Roman"/>
                <w:sz w:val="24"/>
                <w:szCs w:val="24"/>
                <w:lang w:eastAsia="vi-VN"/>
              </w:rPr>
              <w:t>án</w:t>
            </w:r>
            <w:proofErr w:type="gramEnd"/>
            <w:r w:rsidRPr="004357AA">
              <w:rPr>
                <w:rFonts w:ascii="Times New Roman" w:eastAsia="Times New Roman" w:hAnsi="Times New Roman" w:cs="Times New Roman"/>
                <w:sz w:val="24"/>
                <w:szCs w:val="24"/>
                <w:lang w:eastAsia="vi-VN"/>
              </w:rPr>
              <w:t xml:space="preserve"> theo quy định pháp luật về đầu tư công, nguyên tắc, thứ tự ưu tiên quy định tại Điều 3 Nghị quyết này.</w:t>
            </w:r>
          </w:p>
          <w:p w14:paraId="63D8DCD5" w14:textId="77777777" w:rsidR="0054016D" w:rsidRPr="004357AA" w:rsidRDefault="0054016D" w:rsidP="00C14E1E">
            <w:pPr>
              <w:tabs>
                <w:tab w:val="left" w:pos="1927"/>
              </w:tabs>
              <w:spacing w:before="60" w:after="60"/>
              <w:jc w:val="both"/>
              <w:rPr>
                <w:rFonts w:ascii="Times New Roman" w:eastAsia="Times New Roman" w:hAnsi="Times New Roman" w:cs="Times New Roman"/>
                <w:sz w:val="24"/>
                <w:szCs w:val="24"/>
                <w:lang w:eastAsia="vi-VN"/>
              </w:rPr>
            </w:pPr>
            <w:r w:rsidRPr="004357AA">
              <w:rPr>
                <w:rFonts w:ascii="Times New Roman" w:eastAsia="Times New Roman" w:hAnsi="Times New Roman" w:cs="Times New Roman"/>
                <w:sz w:val="24"/>
                <w:szCs w:val="24"/>
                <w:lang w:eastAsia="vi-VN"/>
              </w:rPr>
              <w:t>2. Nguồn thu xổ số kiến thiết, nguồn thu tiền sử dụng đất.</w:t>
            </w:r>
          </w:p>
          <w:p w14:paraId="264A4232" w14:textId="5BBE1D6E" w:rsidR="00A357BB" w:rsidRPr="004357AA" w:rsidRDefault="0054016D" w:rsidP="00C14E1E">
            <w:pPr>
              <w:tabs>
                <w:tab w:val="left" w:pos="1927"/>
              </w:tabs>
              <w:spacing w:before="60" w:after="60"/>
              <w:jc w:val="both"/>
              <w:rPr>
                <w:rFonts w:ascii="Times New Roman" w:eastAsia="Times New Roman" w:hAnsi="Times New Roman" w:cs="Times New Roman"/>
                <w:b/>
                <w:sz w:val="24"/>
                <w:szCs w:val="24"/>
              </w:rPr>
            </w:pPr>
            <w:r w:rsidRPr="004357AA">
              <w:rPr>
                <w:rFonts w:ascii="Times New Roman" w:eastAsia="Times New Roman" w:hAnsi="Times New Roman" w:cs="Times New Roman"/>
                <w:sz w:val="24"/>
                <w:szCs w:val="24"/>
                <w:lang w:eastAsia="vi-VN"/>
              </w:rPr>
              <w:t xml:space="preserve">Thực hiện theo Nghị quyết của Hội đồng nhân dân tỉnh về phân cấp nguồn thu, nhiệm vụ chi </w:t>
            </w:r>
            <w:r w:rsidRPr="004357AA">
              <w:rPr>
                <w:rFonts w:ascii="Times New Roman" w:eastAsia="Times New Roman" w:hAnsi="Times New Roman" w:cs="Times New Roman"/>
                <w:sz w:val="24"/>
                <w:szCs w:val="24"/>
                <w:lang w:val="fi-FI"/>
              </w:rPr>
              <w:t xml:space="preserve">giữa ngân sách các cấp ở địa phương; tỷ lệ phần trăm (%) phân chia khoản thu </w:t>
            </w:r>
            <w:r w:rsidRPr="004357AA">
              <w:rPr>
                <w:rFonts w:ascii="Times New Roman" w:eastAsia="Times New Roman" w:hAnsi="Times New Roman" w:cs="Times New Roman"/>
                <w:sz w:val="24"/>
                <w:szCs w:val="24"/>
                <w:lang w:val="fi-FI"/>
              </w:rPr>
              <w:lastRenderedPageBreak/>
              <w:t>giữa ngân sách các cấp năm 2026 và thời kỳ ổn định ngân sách 2026 - 2030</w:t>
            </w:r>
            <w:r w:rsidRPr="004357AA">
              <w:rPr>
                <w:rFonts w:ascii="Times New Roman" w:eastAsia="Times New Roman" w:hAnsi="Times New Roman" w:cs="Times New Roman"/>
                <w:sz w:val="24"/>
                <w:szCs w:val="24"/>
              </w:rPr>
              <w:t>.</w:t>
            </w:r>
          </w:p>
        </w:tc>
        <w:tc>
          <w:tcPr>
            <w:tcW w:w="5137" w:type="dxa"/>
            <w:vAlign w:val="center"/>
          </w:tcPr>
          <w:p w14:paraId="1F1780AB" w14:textId="77777777" w:rsidR="00AC1FC4" w:rsidRPr="004357AA" w:rsidRDefault="00AC1FC4" w:rsidP="00C14E1E">
            <w:pPr>
              <w:tabs>
                <w:tab w:val="left" w:pos="2054"/>
              </w:tabs>
              <w:spacing w:before="60" w:after="60"/>
              <w:jc w:val="both"/>
              <w:rPr>
                <w:rFonts w:ascii="Times New Roman" w:hAnsi="Times New Roman" w:cs="Times New Roman"/>
                <w:sz w:val="24"/>
                <w:szCs w:val="24"/>
                <w:lang w:eastAsia="vi-VN"/>
              </w:rPr>
            </w:pPr>
            <w:r w:rsidRPr="004357AA">
              <w:rPr>
                <w:rFonts w:ascii="Times New Roman" w:hAnsi="Times New Roman" w:cs="Times New Roman"/>
                <w:bCs/>
                <w:sz w:val="24"/>
                <w:szCs w:val="24"/>
                <w:lang w:eastAsia="vi-VN"/>
              </w:rPr>
              <w:lastRenderedPageBreak/>
              <w:t xml:space="preserve">1. Nguồn </w:t>
            </w:r>
            <w:proofErr w:type="gramStart"/>
            <w:r w:rsidRPr="004357AA">
              <w:rPr>
                <w:rFonts w:ascii="Times New Roman" w:hAnsi="Times New Roman" w:cs="Times New Roman"/>
                <w:bCs/>
                <w:sz w:val="24"/>
                <w:szCs w:val="24"/>
                <w:lang w:eastAsia="vi-VN"/>
              </w:rPr>
              <w:t>cân</w:t>
            </w:r>
            <w:proofErr w:type="gramEnd"/>
            <w:r w:rsidRPr="004357AA">
              <w:rPr>
                <w:rFonts w:ascii="Times New Roman" w:hAnsi="Times New Roman" w:cs="Times New Roman"/>
                <w:bCs/>
                <w:sz w:val="24"/>
                <w:szCs w:val="24"/>
                <w:lang w:eastAsia="vi-VN"/>
              </w:rPr>
              <w:t xml:space="preserve"> đối ngân sách địa phương </w:t>
            </w:r>
            <w:r w:rsidRPr="004357AA">
              <w:rPr>
                <w:rFonts w:ascii="Times New Roman" w:eastAsia="Times New Roman" w:hAnsi="Times New Roman" w:cs="Times New Roman"/>
                <w:sz w:val="24"/>
                <w:szCs w:val="24"/>
                <w:lang w:val="nl-NL"/>
              </w:rPr>
              <w:t>(không bao gồm số thu tiền sử dụng đất, xổ số kiến thiết, bội chi ngân sách địa phương).</w:t>
            </w:r>
          </w:p>
          <w:p w14:paraId="7BE463A8" w14:textId="167CDFFC" w:rsidR="00A357BB" w:rsidRPr="004357AA" w:rsidRDefault="00A357BB" w:rsidP="00C14E1E">
            <w:pPr>
              <w:widowControl w:val="0"/>
              <w:spacing w:before="60" w:after="60"/>
              <w:jc w:val="both"/>
              <w:rPr>
                <w:rFonts w:ascii="Times New Roman" w:eastAsia="Times New Roman" w:hAnsi="Times New Roman" w:cs="Times New Roman"/>
                <w:bCs/>
                <w:sz w:val="24"/>
                <w:szCs w:val="24"/>
                <w:lang w:val="nl-NL" w:eastAsia="vi-VN"/>
              </w:rPr>
            </w:pPr>
            <w:r w:rsidRPr="004357AA">
              <w:rPr>
                <w:rFonts w:ascii="Times New Roman" w:eastAsia="Times New Roman" w:hAnsi="Times New Roman" w:cs="Times New Roman"/>
                <w:bCs/>
                <w:sz w:val="24"/>
                <w:szCs w:val="24"/>
                <w:lang w:val="nl-NL" w:eastAsia="vi-VN"/>
              </w:rPr>
              <w:t xml:space="preserve">Căn cứ </w:t>
            </w:r>
            <w:r w:rsidR="00BD2F50" w:rsidRPr="004357AA">
              <w:rPr>
                <w:rFonts w:ascii="Times New Roman" w:eastAsia="Times New Roman" w:hAnsi="Times New Roman" w:cs="Times New Roman"/>
                <w:bCs/>
                <w:sz w:val="24"/>
                <w:szCs w:val="24"/>
                <w:lang w:val="nl-NL" w:eastAsia="vi-VN"/>
              </w:rPr>
              <w:t xml:space="preserve">khoản 2 </w:t>
            </w:r>
            <w:r w:rsidRPr="004357AA">
              <w:rPr>
                <w:rFonts w:ascii="Times New Roman" w:eastAsia="Times New Roman" w:hAnsi="Times New Roman" w:cs="Times New Roman"/>
                <w:bCs/>
                <w:sz w:val="24"/>
                <w:szCs w:val="24"/>
                <w:lang w:val="nl-NL" w:eastAsia="vi-VN"/>
              </w:rPr>
              <w:t xml:space="preserve">Điều 4, </w:t>
            </w:r>
            <w:r w:rsidR="00BD2F50" w:rsidRPr="004357AA">
              <w:rPr>
                <w:rFonts w:ascii="Times New Roman" w:eastAsia="Times New Roman" w:hAnsi="Times New Roman" w:cs="Times New Roman"/>
                <w:bCs/>
                <w:sz w:val="24"/>
                <w:szCs w:val="24"/>
                <w:lang w:eastAsia="vi-VN"/>
              </w:rPr>
              <w:t>Nghị quyết số 70/2025/UBTVQH15 ngày 07 tháng 02 năm 2025 của Ủy ban Thường vụ Quốc hội</w:t>
            </w:r>
            <w:r w:rsidR="00BD2F50" w:rsidRPr="004357AA">
              <w:rPr>
                <w:rFonts w:ascii="Times New Roman" w:eastAsia="Times New Roman" w:hAnsi="Times New Roman" w:cs="Times New Roman"/>
                <w:bCs/>
                <w:sz w:val="24"/>
                <w:szCs w:val="24"/>
                <w:lang w:val="nl-NL" w:eastAsia="vi-VN"/>
              </w:rPr>
              <w:t xml:space="preserve"> </w:t>
            </w:r>
            <w:r w:rsidRPr="004357AA">
              <w:rPr>
                <w:rFonts w:ascii="Times New Roman" w:eastAsia="Times New Roman" w:hAnsi="Times New Roman" w:cs="Times New Roman"/>
                <w:bCs/>
                <w:sz w:val="24"/>
                <w:szCs w:val="24"/>
                <w:lang w:val="nl-NL" w:eastAsia="vi-VN"/>
              </w:rPr>
              <w:t xml:space="preserve">để quy định cụ thể hóa tiêu chí, </w:t>
            </w:r>
            <w:r w:rsidR="00BD2F50" w:rsidRPr="004357AA">
              <w:rPr>
                <w:rFonts w:ascii="Times New Roman" w:eastAsia="Times New Roman" w:hAnsi="Times New Roman" w:cs="Times New Roman"/>
                <w:bCs/>
                <w:sz w:val="24"/>
                <w:szCs w:val="24"/>
                <w:lang w:val="nl-NL" w:eastAsia="vi-VN"/>
              </w:rPr>
              <w:t>định mức phân</w:t>
            </w:r>
            <w:r w:rsidRPr="004357AA">
              <w:rPr>
                <w:rFonts w:ascii="Times New Roman" w:eastAsia="Times New Roman" w:hAnsi="Times New Roman" w:cs="Times New Roman"/>
                <w:bCs/>
                <w:sz w:val="24"/>
                <w:szCs w:val="24"/>
                <w:lang w:val="nl-NL" w:eastAsia="vi-VN"/>
              </w:rPr>
              <w:t xml:space="preserve"> bổ vốn</w:t>
            </w:r>
            <w:r w:rsidR="004D463C" w:rsidRPr="004357AA">
              <w:rPr>
                <w:rFonts w:ascii="Times New Roman" w:eastAsia="Times New Roman" w:hAnsi="Times New Roman" w:cs="Times New Roman"/>
                <w:bCs/>
                <w:sz w:val="24"/>
                <w:szCs w:val="24"/>
                <w:lang w:val="nl-NL" w:eastAsia="vi-VN"/>
              </w:rPr>
              <w:t xml:space="preserve"> </w:t>
            </w:r>
            <w:r w:rsidRPr="004357AA">
              <w:rPr>
                <w:rFonts w:ascii="Times New Roman" w:eastAsia="Times New Roman" w:hAnsi="Times New Roman" w:cs="Times New Roman"/>
                <w:bCs/>
                <w:sz w:val="24"/>
                <w:szCs w:val="24"/>
                <w:lang w:val="nl-NL" w:eastAsia="vi-VN"/>
              </w:rPr>
              <w:t>cho cấp xã trên địa bàn tỉnh</w:t>
            </w:r>
            <w:r w:rsidR="004D463C" w:rsidRPr="004357AA">
              <w:rPr>
                <w:rFonts w:ascii="Times New Roman" w:eastAsia="Times New Roman" w:hAnsi="Times New Roman" w:cs="Times New Roman"/>
                <w:bCs/>
                <w:sz w:val="24"/>
                <w:szCs w:val="24"/>
                <w:lang w:val="nl-NL" w:eastAsia="vi-VN"/>
              </w:rPr>
              <w:t xml:space="preserve"> phù hợp điều kiện thực tế tại địa phương</w:t>
            </w:r>
            <w:r w:rsidRPr="004357AA">
              <w:rPr>
                <w:rFonts w:ascii="Times New Roman" w:eastAsia="Times New Roman" w:hAnsi="Times New Roman" w:cs="Times New Roman"/>
                <w:bCs/>
                <w:sz w:val="24"/>
                <w:szCs w:val="24"/>
                <w:lang w:val="nl-NL" w:eastAsia="vi-VN"/>
              </w:rPr>
              <w:t>.</w:t>
            </w:r>
            <w:r w:rsidR="004D463C" w:rsidRPr="004357AA">
              <w:rPr>
                <w:rFonts w:ascii="Times New Roman" w:eastAsia="Times New Roman" w:hAnsi="Times New Roman" w:cs="Times New Roman"/>
                <w:bCs/>
                <w:sz w:val="24"/>
                <w:szCs w:val="24"/>
                <w:lang w:val="nl-NL" w:eastAsia="vi-VN"/>
              </w:rPr>
              <w:t xml:space="preserve"> </w:t>
            </w:r>
          </w:p>
          <w:p w14:paraId="42A16F16" w14:textId="77777777" w:rsidR="00AC1FC4" w:rsidRPr="00C14E1E" w:rsidRDefault="00AC1FC4"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nl-NL" w:eastAsia="vi-VN"/>
              </w:rPr>
              <w:t>“</w:t>
            </w:r>
            <w:r w:rsidRPr="00C14E1E">
              <w:rPr>
                <w:rFonts w:ascii="Times New Roman" w:eastAsia="Times New Roman" w:hAnsi="Times New Roman" w:cs="Times New Roman"/>
                <w:bCs/>
                <w:i/>
                <w:sz w:val="24"/>
                <w:szCs w:val="24"/>
                <w:lang w:val="vi-VN" w:eastAsia="vi-VN"/>
              </w:rPr>
              <w:t>2. Tiêu chí, định mức phân bổ vốn giai đoạn 2026 - 2030:</w:t>
            </w:r>
          </w:p>
          <w:p w14:paraId="462F796E" w14:textId="4844BAB8" w:rsidR="00AC1FC4" w:rsidRPr="00C14E1E" w:rsidRDefault="00AC1FC4"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a) Dành tối đa không quá 30% vốn ngân sách trung ương để bổ sung có mục tiêu cho địa phương và được phân bổ theo ngành, lĩnh vực (không bao gồm vốn các dự án thuộc Chương trình mục tiêu quốc gia, vốn ODA, vốn vay ưu đãi của nhà tài trợ nước ngoài và vốn cho các nhiệm vụ, chương trình, dự án được ngân sách trung ương phân bổ quy định tại điểm b khoản này);</w:t>
            </w:r>
          </w:p>
          <w:p w14:paraId="26525405" w14:textId="77777777" w:rsidR="00AC1FC4" w:rsidRPr="00C14E1E" w:rsidRDefault="00AC1FC4"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b) Mức vốn ngân sách trung ương còn lại được phân bổ như sau:</w:t>
            </w:r>
          </w:p>
          <w:p w14:paraId="3F6DFC3D" w14:textId="77777777" w:rsidR="00AC1FC4" w:rsidRPr="00C14E1E" w:rsidRDefault="00AC1FC4" w:rsidP="00C14E1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vi-VN" w:eastAsia="vi-VN"/>
              </w:rPr>
              <w:t>- Phân bổ cho các Bộ, cơ quan trung ương theo ngành, lĩnh vực. Các Bộ, cơ quan trung ương chịu trách nhiệm phân bổ cụ thể cho các chương trình, dự án theo đúng quy định của pháp luật và theo các nguyên tắc, thứ tự ưu tiên quy định tại Nghị quyết này;</w:t>
            </w:r>
          </w:p>
          <w:p w14:paraId="79728161" w14:textId="14107295" w:rsidR="00AC1FC4" w:rsidRPr="00C14E1E" w:rsidRDefault="00AC1FC4" w:rsidP="00C14E1E">
            <w:pPr>
              <w:widowControl w:val="0"/>
              <w:spacing w:before="60" w:after="60"/>
              <w:jc w:val="both"/>
              <w:rPr>
                <w:rFonts w:ascii="Times New Roman" w:eastAsia="Times New Roman" w:hAnsi="Times New Roman" w:cs="Times New Roman"/>
                <w:bCs/>
                <w:i/>
                <w:sz w:val="24"/>
                <w:szCs w:val="24"/>
                <w:lang w:eastAsia="vi-VN"/>
              </w:rPr>
            </w:pPr>
            <w:r w:rsidRPr="00C14E1E">
              <w:rPr>
                <w:rFonts w:ascii="Times New Roman" w:eastAsia="Times New Roman" w:hAnsi="Times New Roman" w:cs="Times New Roman"/>
                <w:bCs/>
                <w:i/>
                <w:sz w:val="24"/>
                <w:szCs w:val="24"/>
                <w:lang w:val="vi-VN" w:eastAsia="vi-VN"/>
              </w:rPr>
              <w:t>- Phân bổ cho các nhiệm vụ, chương trình, dự án cụ thể theo quy định tại </w:t>
            </w:r>
            <w:bookmarkStart w:id="3" w:name="tc_3"/>
            <w:r w:rsidRPr="00C14E1E">
              <w:rPr>
                <w:rFonts w:ascii="Times New Roman" w:eastAsia="Times New Roman" w:hAnsi="Times New Roman" w:cs="Times New Roman"/>
                <w:bCs/>
                <w:i/>
                <w:sz w:val="24"/>
                <w:szCs w:val="24"/>
                <w:lang w:val="vi-VN" w:eastAsia="vi-VN"/>
              </w:rPr>
              <w:t xml:space="preserve">khoản 6 Điều 3 của Nghị </w:t>
            </w:r>
            <w:r w:rsidRPr="00C14E1E">
              <w:rPr>
                <w:rFonts w:ascii="Times New Roman" w:eastAsia="Times New Roman" w:hAnsi="Times New Roman" w:cs="Times New Roman"/>
                <w:bCs/>
                <w:i/>
                <w:sz w:val="24"/>
                <w:szCs w:val="24"/>
                <w:lang w:val="vi-VN" w:eastAsia="vi-VN"/>
              </w:rPr>
              <w:lastRenderedPageBreak/>
              <w:t>quyết này</w:t>
            </w:r>
            <w:bookmarkEnd w:id="3"/>
            <w:r w:rsidRPr="00C14E1E">
              <w:rPr>
                <w:rFonts w:ascii="Times New Roman" w:eastAsia="Times New Roman" w:hAnsi="Times New Roman" w:cs="Times New Roman"/>
                <w:bCs/>
                <w:i/>
                <w:sz w:val="24"/>
                <w:szCs w:val="24"/>
                <w:lang w:val="vi-VN" w:eastAsia="vi-VN"/>
              </w:rPr>
              <w:t> và các nhiệm vụ chi khác thuộc nghĩa vụ của ngân sách trung ương theo quy định của pháp luật.</w:t>
            </w:r>
            <w:r w:rsidRPr="00C14E1E">
              <w:rPr>
                <w:rFonts w:ascii="Times New Roman" w:eastAsia="Times New Roman" w:hAnsi="Times New Roman" w:cs="Times New Roman"/>
                <w:bCs/>
                <w:i/>
                <w:sz w:val="24"/>
                <w:szCs w:val="24"/>
                <w:lang w:eastAsia="vi-VN"/>
              </w:rPr>
              <w:t>”</w:t>
            </w:r>
          </w:p>
          <w:p w14:paraId="54A2D0D7" w14:textId="77777777" w:rsidR="00AC1FC4" w:rsidRPr="004357AA" w:rsidRDefault="00AC1FC4" w:rsidP="00C14E1E">
            <w:pPr>
              <w:tabs>
                <w:tab w:val="left" w:pos="1927"/>
              </w:tabs>
              <w:spacing w:before="60" w:after="60"/>
              <w:jc w:val="both"/>
              <w:rPr>
                <w:rFonts w:ascii="Times New Roman" w:eastAsia="Times New Roman" w:hAnsi="Times New Roman" w:cs="Times New Roman"/>
                <w:sz w:val="24"/>
                <w:szCs w:val="24"/>
                <w:lang w:eastAsia="vi-VN"/>
              </w:rPr>
            </w:pPr>
            <w:r w:rsidRPr="004357AA">
              <w:rPr>
                <w:rFonts w:ascii="Times New Roman" w:eastAsia="Times New Roman" w:hAnsi="Times New Roman" w:cs="Times New Roman"/>
                <w:sz w:val="24"/>
                <w:szCs w:val="24"/>
                <w:lang w:eastAsia="vi-VN"/>
              </w:rPr>
              <w:t xml:space="preserve">2. Nguồn thu xổ số kiến thiết, nguồn thu tiền sử dụng đất. </w:t>
            </w:r>
          </w:p>
          <w:p w14:paraId="09DA426C" w14:textId="0532A9E4" w:rsidR="000D0A6B" w:rsidRPr="004357AA" w:rsidRDefault="00AC1FC4" w:rsidP="00C14E1E">
            <w:pPr>
              <w:tabs>
                <w:tab w:val="left" w:pos="1927"/>
              </w:tabs>
              <w:spacing w:before="60" w:after="60"/>
              <w:jc w:val="both"/>
              <w:rPr>
                <w:rFonts w:ascii="Times New Roman" w:eastAsia="Times New Roman" w:hAnsi="Times New Roman" w:cs="Times New Roman"/>
                <w:sz w:val="24"/>
                <w:szCs w:val="24"/>
                <w:lang w:eastAsia="vi-VN"/>
              </w:rPr>
            </w:pPr>
            <w:r w:rsidRPr="004357AA">
              <w:rPr>
                <w:rFonts w:ascii="Times New Roman" w:eastAsia="Times New Roman" w:hAnsi="Times New Roman" w:cs="Times New Roman"/>
                <w:sz w:val="24"/>
                <w:szCs w:val="24"/>
                <w:lang w:eastAsia="vi-VN"/>
              </w:rPr>
              <w:t xml:space="preserve">Thực hiện theo Nghị quyết của Hội đồng nhân dân tỉnh về phân cấp nguồn thu, nhiệm vụ chi </w:t>
            </w:r>
            <w:r w:rsidRPr="004357AA">
              <w:rPr>
                <w:rFonts w:ascii="Times New Roman" w:eastAsia="Times New Roman" w:hAnsi="Times New Roman" w:cs="Times New Roman"/>
                <w:sz w:val="24"/>
                <w:szCs w:val="24"/>
                <w:lang w:val="fi-FI"/>
              </w:rPr>
              <w:t>giữa ngân sách các cấp ở địa phương</w:t>
            </w:r>
          </w:p>
        </w:tc>
      </w:tr>
      <w:tr w:rsidR="00A357BB" w:rsidRPr="00BE001A" w14:paraId="07F72CC3" w14:textId="77777777" w:rsidTr="004357AA">
        <w:trPr>
          <w:trHeight w:val="551"/>
        </w:trPr>
        <w:tc>
          <w:tcPr>
            <w:tcW w:w="4111" w:type="dxa"/>
            <w:vMerge/>
          </w:tcPr>
          <w:p w14:paraId="7B4A3F63" w14:textId="77777777" w:rsidR="00A357BB" w:rsidRPr="004357AA" w:rsidRDefault="00A357BB" w:rsidP="00C14E1E">
            <w:pPr>
              <w:spacing w:before="60" w:after="60"/>
              <w:jc w:val="both"/>
              <w:rPr>
                <w:rFonts w:ascii="Times New Roman" w:eastAsia="Calibri" w:hAnsi="Times New Roman" w:cs="Times New Roman"/>
                <w:sz w:val="24"/>
                <w:szCs w:val="24"/>
                <w:lang w:val="nl-NL"/>
              </w:rPr>
            </w:pPr>
          </w:p>
        </w:tc>
        <w:tc>
          <w:tcPr>
            <w:tcW w:w="5812" w:type="dxa"/>
          </w:tcPr>
          <w:p w14:paraId="6E65FBD7" w14:textId="77777777" w:rsidR="0054016D" w:rsidRPr="004357AA" w:rsidRDefault="0054016D"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
                <w:sz w:val="24"/>
                <w:szCs w:val="24"/>
                <w:lang w:val="nl-NL"/>
              </w:rPr>
            </w:pPr>
            <w:r w:rsidRPr="004357AA">
              <w:rPr>
                <w:rFonts w:ascii="Times New Roman" w:eastAsia="Calibri" w:hAnsi="Times New Roman" w:cs="Times New Roman"/>
                <w:b/>
                <w:sz w:val="24"/>
                <w:szCs w:val="24"/>
                <w:lang w:val="nl-NL"/>
              </w:rPr>
              <w:t>Điều 5. Tiêu chí và mức vốn đầu tư công nguồn cân đối ngân sách địa phương giai đoạn 2026 - 2030 phân bổ cho cấp xã</w:t>
            </w:r>
          </w:p>
          <w:p w14:paraId="597B48E3" w14:textId="77777777" w:rsidR="0054016D" w:rsidRPr="004357AA" w:rsidRDefault="0054016D"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 xml:space="preserve">1. Tiêu chí phân bổ vốn. </w:t>
            </w:r>
          </w:p>
          <w:p w14:paraId="69A807F3" w14:textId="77777777" w:rsidR="0054016D" w:rsidRPr="004357AA" w:rsidRDefault="0054016D"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a) Tiêu chí về dân số, gồm 01 tiêu chí: Dân số trung bình và số người dân tộc thiểu số.</w:t>
            </w:r>
          </w:p>
          <w:p w14:paraId="6E45ED29" w14:textId="77777777" w:rsidR="0054016D" w:rsidRPr="004357AA" w:rsidRDefault="0054016D"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b) Tiêu chí về trình độ phát triển, gồm 02 tiêu chí: Tỷ lệ hộ nghèo đa chiều; số thu nội địa (không bao gồm số thu sử dụng đất, xổ số kiến thiết).</w:t>
            </w:r>
          </w:p>
          <w:p w14:paraId="0BA82FB7" w14:textId="77777777" w:rsidR="0054016D" w:rsidRPr="004357AA" w:rsidRDefault="0054016D"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c) Tiêu chí về diện tích, gồm 02 tiêu chí: Diện tích đất tự nhiên; diện tích đất trồng lúa và tỷ lệ che phủ rừng.</w:t>
            </w:r>
          </w:p>
          <w:p w14:paraId="4E3B2FA9" w14:textId="77777777" w:rsidR="0054016D" w:rsidRPr="004357AA" w:rsidRDefault="0054016D"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d) Tiêu chí về đơn vị hành chính, gồm 03 tiêu chí: xã vùng cao; xã miền núi; xã biên giới.</w:t>
            </w:r>
          </w:p>
          <w:p w14:paraId="4FA0385E" w14:textId="77777777" w:rsidR="0054016D" w:rsidRPr="004357AA" w:rsidRDefault="0054016D"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đ) Các tiêu chí bổ sung, gồm 2 tiêu chí: xã an toàn khu (ATK); xã thuộc khu vực chịu tác động của công trình quốc phòng và khu vực quân sự nhóm đặt biệt; xã đặc biệt khó khăn.</w:t>
            </w:r>
          </w:p>
          <w:p w14:paraId="509F3D0C" w14:textId="77777777" w:rsidR="0054016D" w:rsidRPr="004357AA" w:rsidRDefault="0054016D"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2. Xác định điểm của từng tiêu chí cụ thể và phương pháp tính mức vốn phân bổ cho các xã, phường.</w:t>
            </w:r>
          </w:p>
          <w:p w14:paraId="6A6EBA5D" w14:textId="07F5D978" w:rsidR="00A357BB" w:rsidRPr="004357AA" w:rsidRDefault="0054016D"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
                <w:sz w:val="24"/>
                <w:szCs w:val="24"/>
                <w:lang w:val="nl-NL"/>
              </w:rPr>
            </w:pPr>
            <w:r w:rsidRPr="004357AA">
              <w:rPr>
                <w:rFonts w:ascii="Times New Roman" w:eastAsia="Calibri" w:hAnsi="Times New Roman" w:cs="Times New Roman"/>
                <w:bCs/>
                <w:sz w:val="24"/>
                <w:szCs w:val="24"/>
                <w:lang w:val="nl-NL"/>
              </w:rPr>
              <w:t xml:space="preserve">Căn cứ vào các tiêu chí quy định tại khoản 1 Điều này tính ra số điểm của từng xã, phường và tổng số điểm các xã, phường để làm căn cứ phân bổ vốn đầu tư trong cân đối theo các công thức tại Phụ lục kèm theo Nghị quyết </w:t>
            </w:r>
            <w:r w:rsidRPr="004357AA">
              <w:rPr>
                <w:rFonts w:ascii="Times New Roman" w:eastAsia="Calibri" w:hAnsi="Times New Roman" w:cs="Times New Roman"/>
                <w:bCs/>
                <w:sz w:val="24"/>
                <w:szCs w:val="24"/>
                <w:lang w:val="nl-NL"/>
              </w:rPr>
              <w:lastRenderedPageBreak/>
              <w:t>này.</w:t>
            </w:r>
          </w:p>
        </w:tc>
        <w:tc>
          <w:tcPr>
            <w:tcW w:w="5137" w:type="dxa"/>
            <w:vAlign w:val="center"/>
          </w:tcPr>
          <w:p w14:paraId="6EECCED4" w14:textId="6168E1C8" w:rsidR="000D0A6B" w:rsidRPr="004357AA" w:rsidRDefault="00A357BB" w:rsidP="00C14E1E">
            <w:pPr>
              <w:widowControl w:val="0"/>
              <w:spacing w:before="60" w:after="60"/>
              <w:jc w:val="both"/>
              <w:rPr>
                <w:rFonts w:ascii="Times New Roman" w:eastAsia="Times New Roman" w:hAnsi="Times New Roman" w:cs="Times New Roman"/>
                <w:bCs/>
                <w:sz w:val="24"/>
                <w:szCs w:val="24"/>
                <w:lang w:val="nl-NL" w:eastAsia="vi-VN"/>
              </w:rPr>
            </w:pPr>
            <w:r w:rsidRPr="004357AA">
              <w:rPr>
                <w:rFonts w:ascii="Times New Roman" w:eastAsia="Times New Roman" w:hAnsi="Times New Roman" w:cs="Times New Roman"/>
                <w:bCs/>
                <w:sz w:val="24"/>
                <w:szCs w:val="24"/>
                <w:lang w:val="nl-NL" w:eastAsia="vi-VN"/>
              </w:rPr>
              <w:lastRenderedPageBreak/>
              <w:t>Căn cứ</w:t>
            </w:r>
            <w:r w:rsidR="000D0A6B" w:rsidRPr="004357AA">
              <w:rPr>
                <w:rFonts w:ascii="Times New Roman" w:eastAsia="Times New Roman" w:hAnsi="Times New Roman" w:cs="Times New Roman"/>
                <w:bCs/>
                <w:sz w:val="24"/>
                <w:szCs w:val="24"/>
                <w:lang w:val="nl-NL" w:eastAsia="vi-VN"/>
              </w:rPr>
              <w:t xml:space="preserve"> điểm b khoản 2 Điều 8 </w:t>
            </w:r>
            <w:r w:rsidR="000D0A6B" w:rsidRPr="004357AA">
              <w:rPr>
                <w:rFonts w:ascii="Times New Roman" w:eastAsia="Times New Roman" w:hAnsi="Times New Roman" w:cs="Times New Roman"/>
                <w:bCs/>
                <w:sz w:val="24"/>
                <w:szCs w:val="24"/>
                <w:lang w:eastAsia="vi-VN"/>
              </w:rPr>
              <w:t>Nghị quyết số 70/2025/UBTVQH15 ngày 07 tháng 02 năm 2025 của Ủy ban Thường vụ Quốc hội, được sửa đổi, bổ sung theo quy định tại điểm b khoản 3 Điều 1 của Nghị quyết số 120/2026/UBTVQH15</w:t>
            </w:r>
            <w:r w:rsidR="00606D3E" w:rsidRPr="004357AA">
              <w:rPr>
                <w:rFonts w:ascii="Times New Roman" w:eastAsia="Times New Roman" w:hAnsi="Times New Roman" w:cs="Times New Roman"/>
                <w:bCs/>
                <w:sz w:val="24"/>
                <w:szCs w:val="24"/>
                <w:lang w:eastAsia="vi-VN"/>
              </w:rPr>
              <w:t xml:space="preserve"> </w:t>
            </w:r>
            <w:r w:rsidR="00606D3E" w:rsidRPr="004357AA">
              <w:rPr>
                <w:rFonts w:ascii="Times New Roman" w:eastAsia="Times New Roman" w:hAnsi="Times New Roman" w:cs="Times New Roman"/>
                <w:bCs/>
                <w:sz w:val="24"/>
                <w:szCs w:val="24"/>
                <w:lang w:val="nl-NL" w:eastAsia="vi-VN"/>
              </w:rPr>
              <w:t>để quy định cụ thể hóa tiêu chí, hệ số phân bổ vốn cho cấp xã trên địa bàn tỉnh:</w:t>
            </w:r>
          </w:p>
          <w:p w14:paraId="5A847532" w14:textId="77777777" w:rsidR="00606D3E" w:rsidRPr="004357AA" w:rsidRDefault="00606D3E" w:rsidP="00C14E1E">
            <w:pPr>
              <w:widowControl w:val="0"/>
              <w:spacing w:before="60" w:after="60"/>
              <w:jc w:val="both"/>
              <w:rPr>
                <w:rFonts w:ascii="Times New Roman" w:eastAsia="Times New Roman" w:hAnsi="Times New Roman" w:cs="Times New Roman"/>
                <w:bCs/>
                <w:sz w:val="24"/>
                <w:szCs w:val="24"/>
                <w:lang w:val="vi-VN" w:eastAsia="vi-VN"/>
              </w:rPr>
            </w:pPr>
            <w:r w:rsidRPr="004357AA">
              <w:rPr>
                <w:rFonts w:ascii="Times New Roman" w:eastAsia="Times New Roman" w:hAnsi="Times New Roman" w:cs="Times New Roman"/>
                <w:bCs/>
                <w:sz w:val="24"/>
                <w:szCs w:val="24"/>
                <w:lang w:val="nl-NL" w:eastAsia="vi-VN"/>
              </w:rPr>
              <w:t>“</w:t>
            </w:r>
            <w:r w:rsidRPr="004357AA">
              <w:rPr>
                <w:rFonts w:ascii="Times New Roman" w:eastAsia="Times New Roman" w:hAnsi="Times New Roman" w:cs="Times New Roman"/>
                <w:bCs/>
                <w:sz w:val="24"/>
                <w:szCs w:val="24"/>
                <w:lang w:val="vi-VN" w:eastAsia="vi-VN"/>
              </w:rPr>
              <w:t>b</w:t>
            </w:r>
            <w:r w:rsidRPr="004357AA">
              <w:rPr>
                <w:rFonts w:ascii="Times New Roman" w:eastAsia="Times New Roman" w:hAnsi="Times New Roman" w:cs="Times New Roman"/>
                <w:bCs/>
                <w:sz w:val="24"/>
                <w:szCs w:val="24"/>
                <w:lang w:eastAsia="vi-VN"/>
              </w:rPr>
              <w:t>)</w:t>
            </w:r>
            <w:r w:rsidRPr="004357AA">
              <w:rPr>
                <w:rFonts w:ascii="Times New Roman" w:eastAsia="Times New Roman" w:hAnsi="Times New Roman" w:cs="Times New Roman"/>
                <w:bCs/>
                <w:sz w:val="24"/>
                <w:szCs w:val="24"/>
                <w:lang w:val="vi-VN" w:eastAsia="vi-VN"/>
              </w:rPr>
              <w:t xml:space="preserve"> Phân bổ cho các chương trình, nhiệm vụ, dự án thuộc các ngành, lĩnh vực của địa phương trên cơ sở tính điểm theo các tiêu chí sau:</w:t>
            </w:r>
          </w:p>
          <w:p w14:paraId="2690E3B8" w14:textId="77777777" w:rsidR="00606D3E" w:rsidRPr="000D0A6B" w:rsidRDefault="00606D3E" w:rsidP="00C14E1E">
            <w:pPr>
              <w:widowControl w:val="0"/>
              <w:spacing w:before="60" w:after="60"/>
              <w:jc w:val="both"/>
              <w:rPr>
                <w:rFonts w:ascii="Times New Roman" w:eastAsia="Times New Roman" w:hAnsi="Times New Roman" w:cs="Times New Roman"/>
                <w:bCs/>
                <w:sz w:val="24"/>
                <w:szCs w:val="24"/>
                <w:lang w:val="vi-VN" w:eastAsia="vi-VN"/>
              </w:rPr>
            </w:pPr>
            <w:r w:rsidRPr="000D0A6B">
              <w:rPr>
                <w:rFonts w:ascii="Times New Roman" w:eastAsia="Times New Roman" w:hAnsi="Times New Roman" w:cs="Times New Roman"/>
                <w:bCs/>
                <w:sz w:val="24"/>
                <w:szCs w:val="24"/>
                <w:lang w:val="vi-VN" w:eastAsia="vi-VN"/>
              </w:rPr>
              <w:t>- Tiêu chí dân số: Số dân trung bình và số người dân tộc thiểu số của các địa phương (trừ thành phố Hà Nội và Thành phố Hồ Chí Minh);</w:t>
            </w:r>
          </w:p>
          <w:p w14:paraId="1F7CDA8B" w14:textId="77777777" w:rsidR="00606D3E" w:rsidRPr="000D0A6B" w:rsidRDefault="00606D3E" w:rsidP="00C14E1E">
            <w:pPr>
              <w:widowControl w:val="0"/>
              <w:spacing w:before="60" w:after="60"/>
              <w:jc w:val="both"/>
              <w:rPr>
                <w:rFonts w:ascii="Times New Roman" w:eastAsia="Times New Roman" w:hAnsi="Times New Roman" w:cs="Times New Roman"/>
                <w:bCs/>
                <w:sz w:val="24"/>
                <w:szCs w:val="24"/>
                <w:lang w:val="vi-VN" w:eastAsia="vi-VN"/>
              </w:rPr>
            </w:pPr>
            <w:r w:rsidRPr="000D0A6B">
              <w:rPr>
                <w:rFonts w:ascii="Times New Roman" w:eastAsia="Times New Roman" w:hAnsi="Times New Roman" w:cs="Times New Roman"/>
                <w:bCs/>
                <w:sz w:val="24"/>
                <w:szCs w:val="24"/>
                <w:lang w:val="vi-VN" w:eastAsia="vi-VN"/>
              </w:rPr>
              <w:t>- Tiêu chí về trình độ phát triển: Tỷ lệ hộ nghèo đa chiều, số thu nội địa của địa phương theo quy định của Luật Ngân sách nhà nước (không bao gồm số thu từ sử dụng đất, xổ số kiến thiết), tỷ lệ bổ sung cân đối từ ngân sách trung ương cho ngân sách địa phương;</w:t>
            </w:r>
          </w:p>
          <w:p w14:paraId="13D8D207" w14:textId="77777777" w:rsidR="00606D3E" w:rsidRPr="000D0A6B" w:rsidRDefault="00606D3E" w:rsidP="00C14E1E">
            <w:pPr>
              <w:widowControl w:val="0"/>
              <w:spacing w:before="60" w:after="60"/>
              <w:jc w:val="both"/>
              <w:rPr>
                <w:rFonts w:ascii="Times New Roman" w:eastAsia="Times New Roman" w:hAnsi="Times New Roman" w:cs="Times New Roman"/>
                <w:bCs/>
                <w:sz w:val="24"/>
                <w:szCs w:val="24"/>
                <w:lang w:val="vi-VN" w:eastAsia="vi-VN"/>
              </w:rPr>
            </w:pPr>
            <w:r w:rsidRPr="000D0A6B">
              <w:rPr>
                <w:rFonts w:ascii="Times New Roman" w:eastAsia="Times New Roman" w:hAnsi="Times New Roman" w:cs="Times New Roman"/>
                <w:bCs/>
                <w:sz w:val="24"/>
                <w:szCs w:val="24"/>
                <w:lang w:val="vi-VN" w:eastAsia="vi-VN"/>
              </w:rPr>
              <w:t>- Tiêu chí diện tích: Diện tích đất tự nhiên, diện tích đất trồng lúa, tỷ lệ che phủ rừng của các địa phương;</w:t>
            </w:r>
          </w:p>
          <w:p w14:paraId="7FFE0D9D" w14:textId="77777777" w:rsidR="00606D3E" w:rsidRPr="000D0A6B" w:rsidRDefault="00606D3E" w:rsidP="00C14E1E">
            <w:pPr>
              <w:widowControl w:val="0"/>
              <w:spacing w:before="60" w:after="60"/>
              <w:jc w:val="both"/>
              <w:rPr>
                <w:rFonts w:ascii="Times New Roman" w:eastAsia="Times New Roman" w:hAnsi="Times New Roman" w:cs="Times New Roman"/>
                <w:bCs/>
                <w:sz w:val="24"/>
                <w:szCs w:val="24"/>
                <w:lang w:val="vi-VN" w:eastAsia="vi-VN"/>
              </w:rPr>
            </w:pPr>
            <w:r w:rsidRPr="000D0A6B">
              <w:rPr>
                <w:rFonts w:ascii="Times New Roman" w:eastAsia="Times New Roman" w:hAnsi="Times New Roman" w:cs="Times New Roman"/>
                <w:bCs/>
                <w:sz w:val="24"/>
                <w:szCs w:val="24"/>
                <w:lang w:val="vi-VN" w:eastAsia="vi-VN"/>
              </w:rPr>
              <w:t xml:space="preserve">- Tiêu chí về đơn vị hành chính cấp xã: Số đơn vị hành chính cấp xã; số xã miền núi; xã vùng cao, </w:t>
            </w:r>
            <w:r w:rsidRPr="000D0A6B">
              <w:rPr>
                <w:rFonts w:ascii="Times New Roman" w:eastAsia="Times New Roman" w:hAnsi="Times New Roman" w:cs="Times New Roman"/>
                <w:bCs/>
                <w:sz w:val="24"/>
                <w:szCs w:val="24"/>
                <w:lang w:val="vi-VN" w:eastAsia="vi-VN"/>
              </w:rPr>
              <w:lastRenderedPageBreak/>
              <w:t>đặc khu; xã có biên giới đất liền của từng địa phương;</w:t>
            </w:r>
          </w:p>
          <w:p w14:paraId="505D2D48" w14:textId="77777777" w:rsidR="00606D3E" w:rsidRPr="000D0A6B" w:rsidRDefault="00606D3E" w:rsidP="00C14E1E">
            <w:pPr>
              <w:widowControl w:val="0"/>
              <w:spacing w:before="60" w:after="60"/>
              <w:jc w:val="both"/>
              <w:rPr>
                <w:rFonts w:ascii="Times New Roman" w:eastAsia="Times New Roman" w:hAnsi="Times New Roman" w:cs="Times New Roman"/>
                <w:bCs/>
                <w:sz w:val="24"/>
                <w:szCs w:val="24"/>
                <w:lang w:val="vi-VN" w:eastAsia="vi-VN"/>
              </w:rPr>
            </w:pPr>
            <w:r w:rsidRPr="000D0A6B">
              <w:rPr>
                <w:rFonts w:ascii="Times New Roman" w:eastAsia="Times New Roman" w:hAnsi="Times New Roman" w:cs="Times New Roman"/>
                <w:bCs/>
                <w:sz w:val="24"/>
                <w:szCs w:val="24"/>
                <w:lang w:val="vi-VN" w:eastAsia="vi-VN"/>
              </w:rPr>
              <w:t>- Các tiêu chí bổ sung, bao gồm:</w:t>
            </w:r>
          </w:p>
          <w:p w14:paraId="219EF6B4" w14:textId="77777777" w:rsidR="00606D3E" w:rsidRPr="000D0A6B" w:rsidRDefault="00606D3E" w:rsidP="00C14E1E">
            <w:pPr>
              <w:widowControl w:val="0"/>
              <w:spacing w:before="60" w:after="60"/>
              <w:jc w:val="both"/>
              <w:rPr>
                <w:rFonts w:ascii="Times New Roman" w:eastAsia="Times New Roman" w:hAnsi="Times New Roman" w:cs="Times New Roman"/>
                <w:bCs/>
                <w:sz w:val="24"/>
                <w:szCs w:val="24"/>
                <w:lang w:val="vi-VN" w:eastAsia="vi-VN"/>
              </w:rPr>
            </w:pPr>
            <w:r w:rsidRPr="000D0A6B">
              <w:rPr>
                <w:rFonts w:ascii="Times New Roman" w:eastAsia="Times New Roman" w:hAnsi="Times New Roman" w:cs="Times New Roman"/>
                <w:bCs/>
                <w:sz w:val="24"/>
                <w:szCs w:val="24"/>
                <w:lang w:val="vi-VN" w:eastAsia="vi-VN"/>
              </w:rPr>
              <w:t>+ Tiêu chí xã ATK; khu vực chịu tác động của công trình quốc phòng và khu quân sự nhóm đặc biệt; xã đặc biệt khó khăn khu vực III;</w:t>
            </w:r>
          </w:p>
          <w:p w14:paraId="6A6B1F2B" w14:textId="77777777" w:rsidR="00606D3E" w:rsidRPr="000D0A6B" w:rsidRDefault="00606D3E" w:rsidP="00C14E1E">
            <w:pPr>
              <w:widowControl w:val="0"/>
              <w:spacing w:before="60" w:after="60"/>
              <w:jc w:val="both"/>
              <w:rPr>
                <w:rFonts w:ascii="Times New Roman" w:eastAsia="Times New Roman" w:hAnsi="Times New Roman" w:cs="Times New Roman"/>
                <w:bCs/>
                <w:sz w:val="24"/>
                <w:szCs w:val="24"/>
                <w:lang w:val="vi-VN" w:eastAsia="vi-VN"/>
              </w:rPr>
            </w:pPr>
            <w:r w:rsidRPr="000D0A6B">
              <w:rPr>
                <w:rFonts w:ascii="Times New Roman" w:eastAsia="Times New Roman" w:hAnsi="Times New Roman" w:cs="Times New Roman"/>
                <w:bCs/>
                <w:sz w:val="24"/>
                <w:szCs w:val="24"/>
                <w:lang w:val="vi-VN" w:eastAsia="vi-VN"/>
              </w:rPr>
              <w:t>+ Tiêu chí vùng, gồm: các vùng chịu tác động lớn của thiên tai, biến đổi khí hậu (mưa bão, sạt lở đất, lũ quét, sạt lở bờ sông, bờ biển, hạn hán, xâm nhập mặn, nước biển dâng…);</w:t>
            </w:r>
          </w:p>
          <w:p w14:paraId="34F0764D" w14:textId="348DE7E9" w:rsidR="00A357BB" w:rsidRPr="004357AA" w:rsidRDefault="00606D3E" w:rsidP="00C14E1E">
            <w:pPr>
              <w:widowControl w:val="0"/>
              <w:spacing w:before="60" w:after="60"/>
              <w:jc w:val="both"/>
              <w:rPr>
                <w:rFonts w:ascii="Times New Roman" w:eastAsia="Times New Roman" w:hAnsi="Times New Roman" w:cs="Times New Roman"/>
                <w:bCs/>
                <w:sz w:val="24"/>
                <w:szCs w:val="24"/>
                <w:lang w:eastAsia="vi-VN"/>
              </w:rPr>
            </w:pPr>
            <w:r w:rsidRPr="000D0A6B">
              <w:rPr>
                <w:rFonts w:ascii="Times New Roman" w:eastAsia="Times New Roman" w:hAnsi="Times New Roman" w:cs="Times New Roman"/>
                <w:bCs/>
                <w:sz w:val="24"/>
                <w:szCs w:val="24"/>
                <w:lang w:val="vi-VN" w:eastAsia="vi-VN"/>
              </w:rPr>
              <w:t>+ Tiêu chí ưu tiên theo các Nghị quyết của Quốc hội</w:t>
            </w:r>
            <w:r w:rsidRPr="004357AA">
              <w:rPr>
                <w:rFonts w:ascii="Times New Roman" w:eastAsia="Times New Roman" w:hAnsi="Times New Roman" w:cs="Times New Roman"/>
                <w:bCs/>
                <w:sz w:val="24"/>
                <w:szCs w:val="24"/>
                <w:lang w:eastAsia="vi-VN"/>
              </w:rPr>
              <w:t>.</w:t>
            </w:r>
          </w:p>
        </w:tc>
      </w:tr>
      <w:tr w:rsidR="004124E6" w:rsidRPr="00BE001A" w14:paraId="2255D3F3" w14:textId="77777777" w:rsidTr="004357AA">
        <w:trPr>
          <w:trHeight w:val="2528"/>
        </w:trPr>
        <w:tc>
          <w:tcPr>
            <w:tcW w:w="4111" w:type="dxa"/>
            <w:vMerge/>
          </w:tcPr>
          <w:p w14:paraId="781F52D2" w14:textId="77777777" w:rsidR="004124E6" w:rsidRPr="004357AA" w:rsidRDefault="004124E6" w:rsidP="00C14E1E">
            <w:pPr>
              <w:spacing w:before="60" w:after="60"/>
              <w:jc w:val="both"/>
              <w:rPr>
                <w:rFonts w:ascii="Times New Roman" w:eastAsia="Calibri" w:hAnsi="Times New Roman" w:cs="Times New Roman"/>
                <w:sz w:val="24"/>
                <w:szCs w:val="24"/>
                <w:lang w:val="nl-NL"/>
              </w:rPr>
            </w:pPr>
          </w:p>
        </w:tc>
        <w:tc>
          <w:tcPr>
            <w:tcW w:w="5812" w:type="dxa"/>
          </w:tcPr>
          <w:p w14:paraId="593E22C5" w14:textId="77777777" w:rsidR="004124E6" w:rsidRPr="004357AA" w:rsidRDefault="004124E6"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
                <w:sz w:val="24"/>
                <w:szCs w:val="24"/>
                <w:lang w:val="nl-NL"/>
              </w:rPr>
            </w:pPr>
            <w:r w:rsidRPr="004357AA">
              <w:rPr>
                <w:rFonts w:ascii="Times New Roman" w:eastAsia="Calibri" w:hAnsi="Times New Roman" w:cs="Times New Roman"/>
                <w:b/>
                <w:sz w:val="24"/>
                <w:szCs w:val="24"/>
                <w:lang w:val="nl-NL"/>
              </w:rPr>
              <w:t>Điều 6. Điều khoản thi hành</w:t>
            </w:r>
          </w:p>
          <w:p w14:paraId="3FC8C240" w14:textId="77777777" w:rsidR="004124E6" w:rsidRPr="004357AA" w:rsidRDefault="004124E6"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r w:rsidRPr="004357AA">
              <w:rPr>
                <w:rFonts w:ascii="Times New Roman" w:eastAsia="Calibri" w:hAnsi="Times New Roman" w:cs="Times New Roman"/>
                <w:bCs/>
                <w:sz w:val="24"/>
                <w:szCs w:val="24"/>
                <w:lang w:val="nl-NL"/>
              </w:rPr>
              <w:t>1. Nghị quyết này áp dụng để phân bổ kế hoạch vốn đầu tư công nguồn ngân sách địa phương cho các năm ngân sách: 2027, 2028, 2029, 2030 thuộc giai đoạn 2026 - 2030.</w:t>
            </w:r>
          </w:p>
          <w:p w14:paraId="64B931DB" w14:textId="13D0E433" w:rsidR="004124E6" w:rsidRPr="004357AA" w:rsidRDefault="004124E6"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
                <w:sz w:val="24"/>
                <w:szCs w:val="24"/>
                <w:lang w:val="nl-NL"/>
              </w:rPr>
            </w:pPr>
            <w:r w:rsidRPr="004357AA">
              <w:rPr>
                <w:rFonts w:ascii="Times New Roman" w:eastAsia="Calibri" w:hAnsi="Times New Roman" w:cs="Times New Roman"/>
                <w:bCs/>
                <w:sz w:val="24"/>
                <w:szCs w:val="24"/>
                <w:lang w:val="nl-NL"/>
              </w:rPr>
              <w:t>2. Giao Uỷ ban nhân dân tỉnh tổ chức thực hiện Nghị quyết này, báo cáo Hội đồng nhân dân tỉnh kết quả theo quy định.</w:t>
            </w:r>
          </w:p>
        </w:tc>
        <w:tc>
          <w:tcPr>
            <w:tcW w:w="5137" w:type="dxa"/>
            <w:vAlign w:val="center"/>
          </w:tcPr>
          <w:p w14:paraId="2FBA8A3B" w14:textId="1973F866" w:rsidR="004124E6" w:rsidRPr="004357AA" w:rsidRDefault="004124E6" w:rsidP="00C14E1E">
            <w:pPr>
              <w:widowControl w:val="0"/>
              <w:spacing w:before="60" w:after="60"/>
              <w:jc w:val="both"/>
              <w:rPr>
                <w:rFonts w:ascii="Times New Roman" w:eastAsia="Times New Roman" w:hAnsi="Times New Roman" w:cs="Times New Roman"/>
                <w:bCs/>
                <w:sz w:val="24"/>
                <w:szCs w:val="24"/>
                <w:lang w:val="nl-NL" w:eastAsia="vi-VN"/>
              </w:rPr>
            </w:pPr>
            <w:r w:rsidRPr="004357AA">
              <w:rPr>
                <w:rFonts w:ascii="Times New Roman" w:eastAsia="Times New Roman" w:hAnsi="Times New Roman" w:cs="Times New Roman"/>
                <w:bCs/>
                <w:sz w:val="24"/>
                <w:szCs w:val="24"/>
                <w:lang w:val="nl-NL" w:eastAsia="vi-VN"/>
              </w:rPr>
              <w:t>Thuộc thẩm quyền</w:t>
            </w:r>
            <w:bookmarkStart w:id="4" w:name="_GoBack"/>
            <w:bookmarkEnd w:id="4"/>
            <w:r w:rsidRPr="004357AA">
              <w:rPr>
                <w:rFonts w:ascii="Times New Roman" w:eastAsia="Times New Roman" w:hAnsi="Times New Roman" w:cs="Times New Roman"/>
                <w:bCs/>
                <w:sz w:val="24"/>
                <w:szCs w:val="24"/>
                <w:lang w:val="nl-NL" w:eastAsia="vi-VN"/>
              </w:rPr>
              <w:t xml:space="preserve"> của HĐND tỉnh và UBND tỉnh</w:t>
            </w:r>
          </w:p>
        </w:tc>
      </w:tr>
    </w:tbl>
    <w:p w14:paraId="3A50C64C" w14:textId="77777777" w:rsidR="00BD5DCA" w:rsidRPr="00521800" w:rsidRDefault="00BD5DCA" w:rsidP="00BD5DCA">
      <w:pPr>
        <w:spacing w:before="120" w:after="0" w:line="240" w:lineRule="auto"/>
        <w:rPr>
          <w:rFonts w:ascii="Times New Roman" w:hAnsi="Times New Roman" w:cs="Times New Roman"/>
          <w:sz w:val="24"/>
          <w:szCs w:val="24"/>
          <w:lang w:val="nl-NL"/>
        </w:rPr>
      </w:pPr>
    </w:p>
    <w:sectPr w:rsidR="00BD5DCA" w:rsidRPr="00521800" w:rsidSect="0009246F">
      <w:headerReference w:type="default" r:id="rId9"/>
      <w:pgSz w:w="16840" w:h="11907" w:orient="landscape" w:code="9"/>
      <w:pgMar w:top="1134" w:right="851"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FB3C4" w14:textId="77777777" w:rsidR="00557F55" w:rsidRDefault="00557F55" w:rsidP="00A12051">
      <w:pPr>
        <w:spacing w:after="0" w:line="240" w:lineRule="auto"/>
      </w:pPr>
      <w:r>
        <w:separator/>
      </w:r>
    </w:p>
  </w:endnote>
  <w:endnote w:type="continuationSeparator" w:id="0">
    <w:p w14:paraId="6FE4AA1A" w14:textId="77777777" w:rsidR="00557F55" w:rsidRDefault="00557F55" w:rsidP="00A12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93E53F" w14:textId="77777777" w:rsidR="00557F55" w:rsidRDefault="00557F55" w:rsidP="00A12051">
      <w:pPr>
        <w:spacing w:after="0" w:line="240" w:lineRule="auto"/>
      </w:pPr>
      <w:r>
        <w:separator/>
      </w:r>
    </w:p>
  </w:footnote>
  <w:footnote w:type="continuationSeparator" w:id="0">
    <w:p w14:paraId="5C84B63A" w14:textId="77777777" w:rsidR="00557F55" w:rsidRDefault="00557F55" w:rsidP="00A120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9799634"/>
      <w:docPartObj>
        <w:docPartGallery w:val="Page Numbers (Top of Page)"/>
        <w:docPartUnique/>
      </w:docPartObj>
    </w:sdtPr>
    <w:sdtEndPr>
      <w:rPr>
        <w:rFonts w:ascii="Times New Roman" w:hAnsi="Times New Roman" w:cs="Times New Roman"/>
        <w:noProof/>
        <w:sz w:val="28"/>
        <w:szCs w:val="28"/>
      </w:rPr>
    </w:sdtEndPr>
    <w:sdtContent>
      <w:p w14:paraId="50CAD00C" w14:textId="77777777" w:rsidR="00D50C2E" w:rsidRPr="00A12051" w:rsidRDefault="00D50C2E" w:rsidP="00A12051">
        <w:pPr>
          <w:pStyle w:val="Header"/>
          <w:jc w:val="center"/>
          <w:rPr>
            <w:rFonts w:ascii="Times New Roman" w:hAnsi="Times New Roman" w:cs="Times New Roman"/>
            <w:sz w:val="28"/>
            <w:szCs w:val="28"/>
          </w:rPr>
        </w:pPr>
        <w:r w:rsidRPr="00A12051">
          <w:rPr>
            <w:rFonts w:ascii="Times New Roman" w:hAnsi="Times New Roman" w:cs="Times New Roman"/>
            <w:sz w:val="28"/>
            <w:szCs w:val="28"/>
          </w:rPr>
          <w:fldChar w:fldCharType="begin"/>
        </w:r>
        <w:r w:rsidRPr="00A12051">
          <w:rPr>
            <w:rFonts w:ascii="Times New Roman" w:hAnsi="Times New Roman" w:cs="Times New Roman"/>
            <w:sz w:val="28"/>
            <w:szCs w:val="28"/>
          </w:rPr>
          <w:instrText xml:space="preserve"> PAGE   \* MERGEFORMAT </w:instrText>
        </w:r>
        <w:r w:rsidRPr="00A12051">
          <w:rPr>
            <w:rFonts w:ascii="Times New Roman" w:hAnsi="Times New Roman" w:cs="Times New Roman"/>
            <w:sz w:val="28"/>
            <w:szCs w:val="28"/>
          </w:rPr>
          <w:fldChar w:fldCharType="separate"/>
        </w:r>
        <w:r w:rsidR="00C14E1E">
          <w:rPr>
            <w:rFonts w:ascii="Times New Roman" w:hAnsi="Times New Roman" w:cs="Times New Roman"/>
            <w:noProof/>
            <w:sz w:val="28"/>
            <w:szCs w:val="28"/>
          </w:rPr>
          <w:t>2</w:t>
        </w:r>
        <w:r w:rsidRPr="00A12051">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75AA"/>
    <w:multiLevelType w:val="hybridMultilevel"/>
    <w:tmpl w:val="0B1A514C"/>
    <w:lvl w:ilvl="0" w:tplc="2B2469E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33754F"/>
    <w:multiLevelType w:val="hybridMultilevel"/>
    <w:tmpl w:val="5EC062C0"/>
    <w:lvl w:ilvl="0" w:tplc="F726284C">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nsid w:val="321F79A9"/>
    <w:multiLevelType w:val="hybridMultilevel"/>
    <w:tmpl w:val="2ED4CD20"/>
    <w:lvl w:ilvl="0" w:tplc="355C6C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F35F25"/>
    <w:multiLevelType w:val="hybridMultilevel"/>
    <w:tmpl w:val="A4B437A4"/>
    <w:lvl w:ilvl="0" w:tplc="F8A0C268">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3F223E30"/>
    <w:multiLevelType w:val="hybridMultilevel"/>
    <w:tmpl w:val="E68E8C2C"/>
    <w:lvl w:ilvl="0" w:tplc="AA04E9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8959A8"/>
    <w:multiLevelType w:val="hybridMultilevel"/>
    <w:tmpl w:val="3C34FAA4"/>
    <w:lvl w:ilvl="0" w:tplc="12CED1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61B3409"/>
    <w:multiLevelType w:val="hybridMultilevel"/>
    <w:tmpl w:val="4D622656"/>
    <w:lvl w:ilvl="0" w:tplc="6F9628F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0"/>
  </w:num>
  <w:num w:numId="4">
    <w:abstractNumId w:val="5"/>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D5DCA"/>
    <w:rsid w:val="0001178D"/>
    <w:rsid w:val="00016916"/>
    <w:rsid w:val="00035DBB"/>
    <w:rsid w:val="0009246F"/>
    <w:rsid w:val="000D0A6B"/>
    <w:rsid w:val="00107756"/>
    <w:rsid w:val="001407AB"/>
    <w:rsid w:val="00155464"/>
    <w:rsid w:val="001916E5"/>
    <w:rsid w:val="00196697"/>
    <w:rsid w:val="001A05FE"/>
    <w:rsid w:val="001B399E"/>
    <w:rsid w:val="00225740"/>
    <w:rsid w:val="00234FF2"/>
    <w:rsid w:val="0024527F"/>
    <w:rsid w:val="00285DBD"/>
    <w:rsid w:val="00292CCB"/>
    <w:rsid w:val="002B5FA3"/>
    <w:rsid w:val="002D281B"/>
    <w:rsid w:val="002F4F6E"/>
    <w:rsid w:val="002F7381"/>
    <w:rsid w:val="003124D0"/>
    <w:rsid w:val="00325A72"/>
    <w:rsid w:val="003357CD"/>
    <w:rsid w:val="00343A9B"/>
    <w:rsid w:val="00376A8E"/>
    <w:rsid w:val="003B47FA"/>
    <w:rsid w:val="003B617F"/>
    <w:rsid w:val="003C0642"/>
    <w:rsid w:val="003D687B"/>
    <w:rsid w:val="003E1792"/>
    <w:rsid w:val="003E5B59"/>
    <w:rsid w:val="004124E6"/>
    <w:rsid w:val="00412CF9"/>
    <w:rsid w:val="00425C67"/>
    <w:rsid w:val="004357AA"/>
    <w:rsid w:val="00441932"/>
    <w:rsid w:val="00452777"/>
    <w:rsid w:val="00452CA0"/>
    <w:rsid w:val="004619D2"/>
    <w:rsid w:val="004674B2"/>
    <w:rsid w:val="004758CD"/>
    <w:rsid w:val="004A43C9"/>
    <w:rsid w:val="004C225C"/>
    <w:rsid w:val="004C35C8"/>
    <w:rsid w:val="004D463C"/>
    <w:rsid w:val="00502401"/>
    <w:rsid w:val="00521800"/>
    <w:rsid w:val="0054016D"/>
    <w:rsid w:val="00557F55"/>
    <w:rsid w:val="005E0DB6"/>
    <w:rsid w:val="00606D3E"/>
    <w:rsid w:val="00633BFE"/>
    <w:rsid w:val="00652167"/>
    <w:rsid w:val="0066283C"/>
    <w:rsid w:val="0067041B"/>
    <w:rsid w:val="006836F1"/>
    <w:rsid w:val="006A5BE3"/>
    <w:rsid w:val="006B7E97"/>
    <w:rsid w:val="006D4F54"/>
    <w:rsid w:val="006E235C"/>
    <w:rsid w:val="006F06FE"/>
    <w:rsid w:val="00711EE4"/>
    <w:rsid w:val="00761D88"/>
    <w:rsid w:val="00766A53"/>
    <w:rsid w:val="007C08AC"/>
    <w:rsid w:val="007D1020"/>
    <w:rsid w:val="007D4E8D"/>
    <w:rsid w:val="007E4E4F"/>
    <w:rsid w:val="008063B3"/>
    <w:rsid w:val="00811120"/>
    <w:rsid w:val="008208C2"/>
    <w:rsid w:val="00820E61"/>
    <w:rsid w:val="00844002"/>
    <w:rsid w:val="008475F6"/>
    <w:rsid w:val="00847688"/>
    <w:rsid w:val="00854EE0"/>
    <w:rsid w:val="00893F8A"/>
    <w:rsid w:val="008A3F5D"/>
    <w:rsid w:val="008C6D76"/>
    <w:rsid w:val="0091041E"/>
    <w:rsid w:val="00925209"/>
    <w:rsid w:val="009424AA"/>
    <w:rsid w:val="009606E5"/>
    <w:rsid w:val="009721D5"/>
    <w:rsid w:val="00976D67"/>
    <w:rsid w:val="009B5733"/>
    <w:rsid w:val="009E2DBD"/>
    <w:rsid w:val="00A12051"/>
    <w:rsid w:val="00A21D8E"/>
    <w:rsid w:val="00A24B23"/>
    <w:rsid w:val="00A357BB"/>
    <w:rsid w:val="00A51A88"/>
    <w:rsid w:val="00A57333"/>
    <w:rsid w:val="00A91DE5"/>
    <w:rsid w:val="00A9552A"/>
    <w:rsid w:val="00AA247F"/>
    <w:rsid w:val="00AC1FC4"/>
    <w:rsid w:val="00B13E35"/>
    <w:rsid w:val="00B206F2"/>
    <w:rsid w:val="00BD0186"/>
    <w:rsid w:val="00BD2F50"/>
    <w:rsid w:val="00BD5DCA"/>
    <w:rsid w:val="00BE001A"/>
    <w:rsid w:val="00C010C6"/>
    <w:rsid w:val="00C14E1E"/>
    <w:rsid w:val="00C2198D"/>
    <w:rsid w:val="00C24392"/>
    <w:rsid w:val="00C256FF"/>
    <w:rsid w:val="00C752C9"/>
    <w:rsid w:val="00C7754F"/>
    <w:rsid w:val="00CA694E"/>
    <w:rsid w:val="00CE56F7"/>
    <w:rsid w:val="00CF329D"/>
    <w:rsid w:val="00D128E7"/>
    <w:rsid w:val="00D14D6C"/>
    <w:rsid w:val="00D1788A"/>
    <w:rsid w:val="00D334EA"/>
    <w:rsid w:val="00D50C2E"/>
    <w:rsid w:val="00D94562"/>
    <w:rsid w:val="00DA7F3B"/>
    <w:rsid w:val="00DC3D6F"/>
    <w:rsid w:val="00DE06BD"/>
    <w:rsid w:val="00E45E96"/>
    <w:rsid w:val="00E529FD"/>
    <w:rsid w:val="00E8594D"/>
    <w:rsid w:val="00E93D30"/>
    <w:rsid w:val="00EA4686"/>
    <w:rsid w:val="00EC30BB"/>
    <w:rsid w:val="00EE0AD3"/>
    <w:rsid w:val="00F02C2E"/>
    <w:rsid w:val="00F10D49"/>
    <w:rsid w:val="00F53AA8"/>
    <w:rsid w:val="00F76D5A"/>
    <w:rsid w:val="00F91817"/>
    <w:rsid w:val="00FA1D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2"/>
        <o:r id="V:Rule2" type="connector" idref="#Straight Arrow Connector 1"/>
      </o:rules>
    </o:shapelayout>
  </w:shapeDefaults>
  <w:decimalSymbol w:val="."/>
  <w:listSeparator w:val=","/>
  <w14:docId w14:val="3581A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9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D5D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D281B"/>
    <w:rPr>
      <w:color w:val="0000FF" w:themeColor="hyperlink"/>
      <w:u w:val="single"/>
    </w:rPr>
  </w:style>
  <w:style w:type="paragraph" w:styleId="NormalWeb">
    <w:name w:val="Normal (Web)"/>
    <w:basedOn w:val="Normal"/>
    <w:uiPriority w:val="99"/>
    <w:semiHidden/>
    <w:unhideWhenUsed/>
    <w:rsid w:val="00A51A88"/>
    <w:rPr>
      <w:rFonts w:ascii="Times New Roman" w:hAnsi="Times New Roman" w:cs="Times New Roman"/>
      <w:sz w:val="24"/>
      <w:szCs w:val="24"/>
    </w:rPr>
  </w:style>
  <w:style w:type="paragraph" w:styleId="Header">
    <w:name w:val="header"/>
    <w:basedOn w:val="Normal"/>
    <w:link w:val="HeaderChar"/>
    <w:uiPriority w:val="99"/>
    <w:unhideWhenUsed/>
    <w:rsid w:val="00A12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2051"/>
  </w:style>
  <w:style w:type="paragraph" w:styleId="Footer">
    <w:name w:val="footer"/>
    <w:basedOn w:val="Normal"/>
    <w:link w:val="FooterChar"/>
    <w:uiPriority w:val="99"/>
    <w:unhideWhenUsed/>
    <w:rsid w:val="00A12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2051"/>
  </w:style>
  <w:style w:type="paragraph" w:styleId="ListParagraph">
    <w:name w:val="List Paragraph"/>
    <w:basedOn w:val="Normal"/>
    <w:uiPriority w:val="34"/>
    <w:qFormat/>
    <w:rsid w:val="009424AA"/>
    <w:pPr>
      <w:ind w:left="720"/>
      <w:contextualSpacing/>
    </w:pPr>
  </w:style>
  <w:style w:type="character" w:customStyle="1" w:styleId="UnresolvedMention">
    <w:name w:val="Unresolved Mention"/>
    <w:basedOn w:val="DefaultParagraphFont"/>
    <w:uiPriority w:val="99"/>
    <w:semiHidden/>
    <w:unhideWhenUsed/>
    <w:rsid w:val="00925209"/>
    <w:rPr>
      <w:color w:val="605E5C"/>
      <w:shd w:val="clear" w:color="auto" w:fill="E1DFDD"/>
    </w:rPr>
  </w:style>
  <w:style w:type="paragraph" w:styleId="BodyText">
    <w:name w:val="Body Text"/>
    <w:basedOn w:val="Normal"/>
    <w:link w:val="BodyTextChar"/>
    <w:uiPriority w:val="99"/>
    <w:qFormat/>
    <w:rsid w:val="00285DBD"/>
    <w:pPr>
      <w:spacing w:before="240" w:after="0" w:line="240" w:lineRule="auto"/>
    </w:pPr>
    <w:rPr>
      <w:rFonts w:ascii=".VnTime" w:eastAsia="Times New Roman" w:hAnsi=".VnTime" w:cs="Times New Roman"/>
      <w:b/>
      <w:sz w:val="28"/>
      <w:szCs w:val="20"/>
      <w:lang w:val="x-none" w:eastAsia="x-none"/>
    </w:rPr>
  </w:style>
  <w:style w:type="character" w:customStyle="1" w:styleId="BodyTextChar">
    <w:name w:val="Body Text Char"/>
    <w:basedOn w:val="DefaultParagraphFont"/>
    <w:link w:val="BodyText"/>
    <w:uiPriority w:val="99"/>
    <w:rsid w:val="00285DBD"/>
    <w:rPr>
      <w:rFonts w:ascii=".VnTime" w:eastAsia="Times New Roman" w:hAnsi=".VnTime" w:cs="Times New Roman"/>
      <w:b/>
      <w:sz w:val="28"/>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412485">
      <w:bodyDiv w:val="1"/>
      <w:marLeft w:val="0"/>
      <w:marRight w:val="0"/>
      <w:marTop w:val="0"/>
      <w:marBottom w:val="0"/>
      <w:divBdr>
        <w:top w:val="none" w:sz="0" w:space="0" w:color="auto"/>
        <w:left w:val="none" w:sz="0" w:space="0" w:color="auto"/>
        <w:bottom w:val="none" w:sz="0" w:space="0" w:color="auto"/>
        <w:right w:val="none" w:sz="0" w:space="0" w:color="auto"/>
      </w:divBdr>
    </w:div>
    <w:div w:id="1173957330">
      <w:bodyDiv w:val="1"/>
      <w:marLeft w:val="0"/>
      <w:marRight w:val="0"/>
      <w:marTop w:val="0"/>
      <w:marBottom w:val="0"/>
      <w:divBdr>
        <w:top w:val="none" w:sz="0" w:space="0" w:color="auto"/>
        <w:left w:val="none" w:sz="0" w:space="0" w:color="auto"/>
        <w:bottom w:val="none" w:sz="0" w:space="0" w:color="auto"/>
        <w:right w:val="none" w:sz="0" w:space="0" w:color="auto"/>
      </w:divBdr>
    </w:div>
    <w:div w:id="123689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B67C0-8AC0-4CBD-B568-648C14F6D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8</Pages>
  <Words>3131</Words>
  <Characters>17853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20943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Administrator</cp:lastModifiedBy>
  <cp:revision>61</cp:revision>
  <dcterms:created xsi:type="dcterms:W3CDTF">2025-05-09T02:47:00Z</dcterms:created>
  <dcterms:modified xsi:type="dcterms:W3CDTF">2026-06-09T02:34:00Z</dcterms:modified>
</cp:coreProperties>
</file>